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479" w:rsidRPr="00F644E2" w:rsidRDefault="00870479" w:rsidP="00870479">
      <w:pPr>
        <w:jc w:val="center"/>
        <w:rPr>
          <w:b/>
          <w:sz w:val="28"/>
          <w:szCs w:val="28"/>
        </w:rPr>
      </w:pPr>
      <w:r w:rsidRPr="00F644E2">
        <w:rPr>
          <w:b/>
          <w:sz w:val="28"/>
          <w:szCs w:val="28"/>
        </w:rPr>
        <w:t xml:space="preserve">CEPT Brief on </w:t>
      </w:r>
      <w:r>
        <w:rPr>
          <w:b/>
          <w:sz w:val="28"/>
          <w:szCs w:val="28"/>
        </w:rPr>
        <w:t>Agenda Item 1.6</w:t>
      </w:r>
    </w:p>
    <w:p w:rsidR="00870479" w:rsidRDefault="00870479" w:rsidP="00C075C0">
      <w:pPr>
        <w:pStyle w:val="Corpsdetexte3"/>
        <w:spacing w:after="120"/>
        <w:jc w:val="left"/>
        <w:rPr>
          <w:sz w:val="24"/>
          <w:szCs w:val="24"/>
        </w:rPr>
      </w:pPr>
    </w:p>
    <w:p w:rsidR="00870479" w:rsidRPr="00B0742E" w:rsidRDefault="00870479" w:rsidP="00C075C0">
      <w:pPr>
        <w:pStyle w:val="Corpsdetexte3"/>
        <w:spacing w:after="120"/>
        <w:jc w:val="both"/>
        <w:rPr>
          <w:bCs/>
          <w:i/>
          <w:color w:val="000000"/>
          <w:sz w:val="24"/>
          <w:szCs w:val="24"/>
        </w:rPr>
      </w:pPr>
      <w:r w:rsidRPr="00B0742E">
        <w:rPr>
          <w:sz w:val="24"/>
          <w:szCs w:val="24"/>
        </w:rPr>
        <w:t>1.6:</w:t>
      </w:r>
      <w:r w:rsidRPr="00B0742E">
        <w:rPr>
          <w:sz w:val="24"/>
          <w:szCs w:val="24"/>
        </w:rPr>
        <w:tab/>
        <w:t xml:space="preserve"> </w:t>
      </w:r>
      <w:r w:rsidRPr="00B0742E">
        <w:rPr>
          <w:i/>
          <w:sz w:val="24"/>
          <w:szCs w:val="24"/>
        </w:rPr>
        <w:t>to review No. 5.565 of the Radio Regulations in order to update the spectrum use by the passive services between 275 GHz and 3 000 GHz, in accordance with Resolution 950 (Rev.WRC</w:t>
      </w:r>
      <w:r w:rsidRPr="00B0742E">
        <w:rPr>
          <w:i/>
          <w:sz w:val="24"/>
          <w:szCs w:val="24"/>
        </w:rPr>
        <w:noBreakHyphen/>
        <w:t>07)</w:t>
      </w:r>
      <w:r w:rsidRPr="00B0742E">
        <w:rPr>
          <w:bCs/>
          <w:i/>
          <w:sz w:val="24"/>
          <w:szCs w:val="24"/>
        </w:rPr>
        <w:t>,</w:t>
      </w:r>
      <w:r w:rsidRPr="00B0742E">
        <w:rPr>
          <w:i/>
          <w:sz w:val="24"/>
          <w:szCs w:val="24"/>
        </w:rPr>
        <w:t xml:space="preserve"> and to consider possible procedures for free-space optical-links, taking into account the results of ITU</w:t>
      </w:r>
      <w:r w:rsidRPr="00B0742E">
        <w:rPr>
          <w:i/>
          <w:sz w:val="24"/>
          <w:szCs w:val="24"/>
        </w:rPr>
        <w:noBreakHyphen/>
        <w:t>R studies, in accordance with Resolution 955 (WRC</w:t>
      </w:r>
      <w:r w:rsidRPr="00B0742E">
        <w:rPr>
          <w:i/>
          <w:sz w:val="24"/>
          <w:szCs w:val="24"/>
        </w:rPr>
        <w:noBreakHyphen/>
        <w:t>07)</w:t>
      </w:r>
      <w:r w:rsidRPr="00B0742E">
        <w:rPr>
          <w:bCs/>
          <w:i/>
          <w:sz w:val="24"/>
          <w:szCs w:val="24"/>
        </w:rPr>
        <w:t>;</w:t>
      </w:r>
    </w:p>
    <w:p w:rsidR="00870479" w:rsidRPr="00B0742E" w:rsidRDefault="00870479" w:rsidP="00C075C0">
      <w:pPr>
        <w:pStyle w:val="Titre2"/>
        <w:keepLines w:val="0"/>
        <w:tabs>
          <w:tab w:val="clear" w:pos="794"/>
        </w:tabs>
        <w:spacing w:before="120"/>
        <w:rPr>
          <w:szCs w:val="24"/>
        </w:rPr>
      </w:pPr>
      <w:r w:rsidRPr="00B0742E">
        <w:rPr>
          <w:szCs w:val="24"/>
        </w:rPr>
        <w:t>Issue</w:t>
      </w:r>
    </w:p>
    <w:p w:rsidR="00870479" w:rsidRPr="00B0742E" w:rsidRDefault="00870479" w:rsidP="00C075C0">
      <w:pPr>
        <w:jc w:val="both"/>
        <w:rPr>
          <w:szCs w:val="24"/>
        </w:rPr>
      </w:pPr>
      <w:r w:rsidRPr="00B0742E">
        <w:rPr>
          <w:szCs w:val="24"/>
        </w:rPr>
        <w:t>The general field of agenda item 1.6 is to consider frequency bands above 275 GHz, noting that they are not allocated in the RR Article 5 Table of Frequency allocations.</w:t>
      </w:r>
    </w:p>
    <w:p w:rsidR="00870479" w:rsidRPr="00B0742E" w:rsidRDefault="00870479" w:rsidP="00C075C0">
      <w:pPr>
        <w:jc w:val="both"/>
        <w:rPr>
          <w:szCs w:val="24"/>
        </w:rPr>
      </w:pPr>
      <w:r w:rsidRPr="00B0742E">
        <w:rPr>
          <w:szCs w:val="24"/>
        </w:rPr>
        <w:t>Specifically, it consists of two distinct issues:</w:t>
      </w:r>
    </w:p>
    <w:p w:rsidR="00870479" w:rsidRPr="00B0742E" w:rsidRDefault="00870479" w:rsidP="00C075C0">
      <w:pPr>
        <w:numPr>
          <w:ilvl w:val="0"/>
          <w:numId w:val="2"/>
        </w:numPr>
        <w:jc w:val="both"/>
        <w:rPr>
          <w:color w:val="000000"/>
          <w:szCs w:val="24"/>
          <w:lang w:eastAsia="ja-JP"/>
        </w:rPr>
      </w:pPr>
      <w:r w:rsidRPr="00B0742E">
        <w:rPr>
          <w:szCs w:val="24"/>
        </w:rPr>
        <w:t xml:space="preserve">Passive services (i.e. Earth Exploration Satellite, </w:t>
      </w:r>
      <w:proofErr w:type="spellStart"/>
      <w:r w:rsidRPr="00B0742E">
        <w:rPr>
          <w:szCs w:val="24"/>
        </w:rPr>
        <w:t>Radioastronomy</w:t>
      </w:r>
      <w:proofErr w:type="spellEnd"/>
      <w:r w:rsidRPr="00B0742E">
        <w:rPr>
          <w:szCs w:val="24"/>
        </w:rPr>
        <w:t xml:space="preserve"> and Space Research services) between 275 and 3000 GHz for which Resolution </w:t>
      </w:r>
      <w:r w:rsidRPr="00B0742E">
        <w:rPr>
          <w:b/>
          <w:szCs w:val="24"/>
        </w:rPr>
        <w:t>950 (Rev.WRC</w:t>
      </w:r>
      <w:r w:rsidRPr="00B0742E">
        <w:rPr>
          <w:b/>
          <w:szCs w:val="24"/>
        </w:rPr>
        <w:noBreakHyphen/>
        <w:t>07)</w:t>
      </w:r>
      <w:r w:rsidRPr="00B0742E">
        <w:rPr>
          <w:szCs w:val="24"/>
        </w:rPr>
        <w:t xml:space="preserve"> calls for studies with a view of updating passive services use in this frequency range and consistently </w:t>
      </w:r>
      <w:r w:rsidRPr="00B0742E">
        <w:rPr>
          <w:color w:val="000000"/>
          <w:szCs w:val="24"/>
          <w:lang w:eastAsia="ja-JP"/>
        </w:rPr>
        <w:t>review No. </w:t>
      </w:r>
      <w:r w:rsidRPr="00B0742E">
        <w:rPr>
          <w:rStyle w:val="Artref"/>
          <w:b/>
          <w:color w:val="000000"/>
          <w:szCs w:val="24"/>
        </w:rPr>
        <w:t>5.565</w:t>
      </w:r>
      <w:r w:rsidRPr="00B0742E">
        <w:rPr>
          <w:color w:val="000000"/>
          <w:szCs w:val="24"/>
          <w:lang w:eastAsia="ja-JP"/>
        </w:rPr>
        <w:t xml:space="preserve"> of the Radio Regulations</w:t>
      </w:r>
    </w:p>
    <w:p w:rsidR="00870479" w:rsidRPr="00B0742E" w:rsidRDefault="00870479" w:rsidP="00C075C0">
      <w:pPr>
        <w:numPr>
          <w:ilvl w:val="0"/>
          <w:numId w:val="2"/>
        </w:numPr>
        <w:jc w:val="both"/>
        <w:rPr>
          <w:szCs w:val="24"/>
        </w:rPr>
      </w:pPr>
      <w:r w:rsidRPr="00B0742E">
        <w:rPr>
          <w:szCs w:val="24"/>
        </w:rPr>
        <w:t>Free-space optical-links</w:t>
      </w:r>
      <w:r w:rsidRPr="00B0742E">
        <w:rPr>
          <w:color w:val="000000"/>
          <w:szCs w:val="24"/>
          <w:lang w:eastAsia="ja-JP"/>
        </w:rPr>
        <w:t xml:space="preserve"> above 3000 GHz </w:t>
      </w:r>
      <w:r w:rsidRPr="00B0742E">
        <w:rPr>
          <w:szCs w:val="24"/>
        </w:rPr>
        <w:t>for which Resolution </w:t>
      </w:r>
      <w:r w:rsidRPr="00B0742E">
        <w:rPr>
          <w:b/>
          <w:szCs w:val="24"/>
        </w:rPr>
        <w:t>955 (WRC</w:t>
      </w:r>
      <w:r w:rsidRPr="00B0742E">
        <w:rPr>
          <w:b/>
          <w:szCs w:val="24"/>
        </w:rPr>
        <w:noBreakHyphen/>
        <w:t>07)</w:t>
      </w:r>
      <w:r w:rsidRPr="00B0742E">
        <w:rPr>
          <w:szCs w:val="24"/>
        </w:rPr>
        <w:t xml:space="preserve"> asks to consider possible procedures if allocations to various services in the Radio Regulations above 3 000 GHz are considered feasible</w:t>
      </w:r>
    </w:p>
    <w:p w:rsidR="00870479" w:rsidRPr="00B0742E" w:rsidRDefault="00870479" w:rsidP="00C075C0">
      <w:pPr>
        <w:rPr>
          <w:b/>
          <w:szCs w:val="24"/>
        </w:rPr>
      </w:pPr>
    </w:p>
    <w:p w:rsidR="00870479" w:rsidRPr="00B0742E" w:rsidRDefault="00870479" w:rsidP="00C075C0">
      <w:pPr>
        <w:jc w:val="both"/>
        <w:rPr>
          <w:b/>
          <w:szCs w:val="24"/>
        </w:rPr>
      </w:pPr>
      <w:r w:rsidRPr="00B0742E">
        <w:rPr>
          <w:b/>
          <w:szCs w:val="24"/>
        </w:rPr>
        <w:t xml:space="preserve"> CEPT position</w:t>
      </w:r>
    </w:p>
    <w:p w:rsidR="00870479" w:rsidRPr="00B0742E" w:rsidRDefault="00870479" w:rsidP="00C075C0">
      <w:pPr>
        <w:pStyle w:val="Normalaftertitle"/>
        <w:tabs>
          <w:tab w:val="clear" w:pos="794"/>
          <w:tab w:val="clear" w:pos="1191"/>
          <w:tab w:val="clear" w:pos="1588"/>
          <w:tab w:val="clear" w:pos="1985"/>
          <w:tab w:val="left" w:pos="1134"/>
          <w:tab w:val="left" w:pos="1871"/>
          <w:tab w:val="left" w:pos="2268"/>
        </w:tabs>
        <w:spacing w:before="0"/>
        <w:ind w:left="360"/>
        <w:jc w:val="both"/>
        <w:rPr>
          <w:szCs w:val="24"/>
          <w:lang w:val="en-US"/>
        </w:rPr>
      </w:pPr>
    </w:p>
    <w:p w:rsidR="00870479" w:rsidRDefault="00870479" w:rsidP="00C075C0">
      <w:pPr>
        <w:pStyle w:val="Normalaftertitle"/>
        <w:numPr>
          <w:ilvl w:val="0"/>
          <w:numId w:val="3"/>
        </w:numPr>
        <w:tabs>
          <w:tab w:val="clear" w:pos="794"/>
          <w:tab w:val="clear" w:pos="1191"/>
          <w:tab w:val="clear" w:pos="1588"/>
          <w:tab w:val="clear" w:pos="1985"/>
          <w:tab w:val="left" w:pos="1134"/>
          <w:tab w:val="left" w:pos="1871"/>
          <w:tab w:val="left" w:pos="2268"/>
        </w:tabs>
        <w:spacing w:before="0"/>
        <w:jc w:val="both"/>
      </w:pPr>
      <w:r w:rsidRPr="00B0742E">
        <w:rPr>
          <w:iCs/>
          <w:szCs w:val="24"/>
        </w:rPr>
        <w:t xml:space="preserve">CEPT supports the review of </w:t>
      </w:r>
      <w:r w:rsidRPr="00B0742E">
        <w:rPr>
          <w:color w:val="000000"/>
          <w:szCs w:val="24"/>
          <w:lang w:eastAsia="ja-JP"/>
        </w:rPr>
        <w:t>No. </w:t>
      </w:r>
      <w:r w:rsidRPr="00B0742E">
        <w:rPr>
          <w:rStyle w:val="Artref"/>
          <w:b/>
          <w:color w:val="000000"/>
          <w:szCs w:val="24"/>
        </w:rPr>
        <w:t>5.565</w:t>
      </w:r>
      <w:r w:rsidRPr="00B0742E">
        <w:rPr>
          <w:color w:val="000000"/>
          <w:szCs w:val="24"/>
          <w:lang w:eastAsia="ja-JP"/>
        </w:rPr>
        <w:t xml:space="preserve"> considering in particular </w:t>
      </w:r>
      <w:r w:rsidRPr="00B0742E">
        <w:rPr>
          <w:szCs w:val="24"/>
        </w:rPr>
        <w:t>new technological advancements and planned</w:t>
      </w:r>
      <w:r>
        <w:t xml:space="preserve"> applications for passive services</w:t>
      </w:r>
      <w:r>
        <w:rPr>
          <w:lang w:val="en-US"/>
        </w:rPr>
        <w:t xml:space="preserve"> (EESS, RAS and Space Research) to </w:t>
      </w:r>
      <w:r>
        <w:t>allow early assessment of scientific and meteorological next generation equipments.</w:t>
      </w:r>
    </w:p>
    <w:p w:rsidR="00870479" w:rsidRPr="006B4896" w:rsidRDefault="00870479" w:rsidP="00C075C0">
      <w:pPr>
        <w:ind w:left="720"/>
        <w:jc w:val="both"/>
      </w:pPr>
      <w:r w:rsidRPr="006B4896">
        <w:t xml:space="preserve">CEPT recognizes that </w:t>
      </w:r>
      <w:r w:rsidR="00B61D6D">
        <w:t xml:space="preserve">the </w:t>
      </w:r>
      <w:r w:rsidRPr="006B4896">
        <w:t xml:space="preserve">identification of possible use of certain bands </w:t>
      </w:r>
      <w:r w:rsidR="00B61D6D">
        <w:t xml:space="preserve">in the range 275-3000 GHz </w:t>
      </w:r>
      <w:r w:rsidR="007608DE">
        <w:t xml:space="preserve">by the </w:t>
      </w:r>
      <w:r w:rsidRPr="006B4896">
        <w:t xml:space="preserve">passive services </w:t>
      </w:r>
      <w:r w:rsidR="00176BE0">
        <w:t xml:space="preserve">shall </w:t>
      </w:r>
      <w:r w:rsidRPr="006B4896">
        <w:t>not automatically</w:t>
      </w:r>
      <w:r w:rsidR="00B61D6D">
        <w:t xml:space="preserve"> </w:t>
      </w:r>
      <w:r w:rsidRPr="006B4896">
        <w:t xml:space="preserve">preclude future consideration of these bands for active services. </w:t>
      </w:r>
    </w:p>
    <w:p w:rsidR="00870479" w:rsidRDefault="00870479" w:rsidP="00C075C0">
      <w:pPr>
        <w:ind w:left="720"/>
        <w:jc w:val="both"/>
      </w:pPr>
      <w:r w:rsidRPr="006B4896">
        <w:t xml:space="preserve">However, CEPT is also of the view that the identification of bands for passive service should not </w:t>
      </w:r>
      <w:r>
        <w:t>be conditioned by identification for use by other services</w:t>
      </w:r>
      <w:r w:rsidR="00176BE0">
        <w:t xml:space="preserve">, as this item does not </w:t>
      </w:r>
      <w:r w:rsidR="00176BE0" w:rsidRPr="00394585">
        <w:t>deal with allocations for either active or passive services</w:t>
      </w:r>
      <w:r w:rsidRPr="00394585">
        <w:t xml:space="preserve">. To this respect, CEPT supports </w:t>
      </w:r>
      <w:r w:rsidR="00770EFC" w:rsidRPr="00394585">
        <w:t xml:space="preserve">the results of ITU-R studies </w:t>
      </w:r>
      <w:r w:rsidRPr="00394585">
        <w:t>on detailed definition of</w:t>
      </w:r>
      <w:r w:rsidRPr="006B4896">
        <w:t xml:space="preserve"> passive</w:t>
      </w:r>
      <w:r>
        <w:t xml:space="preserve"> services requirements.</w:t>
      </w:r>
    </w:p>
    <w:p w:rsidR="00870479" w:rsidRPr="00394585" w:rsidRDefault="00FF333C" w:rsidP="003C6D4E">
      <w:pPr>
        <w:pStyle w:val="Normalaftertitle"/>
        <w:tabs>
          <w:tab w:val="clear" w:pos="794"/>
          <w:tab w:val="clear" w:pos="1191"/>
          <w:tab w:val="clear" w:pos="1588"/>
          <w:tab w:val="clear" w:pos="1985"/>
          <w:tab w:val="left" w:pos="1134"/>
          <w:tab w:val="left" w:pos="1871"/>
          <w:tab w:val="left" w:pos="2268"/>
        </w:tabs>
        <w:spacing w:before="120"/>
        <w:ind w:left="720"/>
        <w:jc w:val="both"/>
      </w:pPr>
      <w:r w:rsidRPr="00394585">
        <w:t xml:space="preserve">CEPT </w:t>
      </w:r>
      <w:r w:rsidR="00B07E62" w:rsidRPr="00394585">
        <w:t xml:space="preserve">supports </w:t>
      </w:r>
      <w:r w:rsidR="007939D8" w:rsidRPr="00394585">
        <w:t>the Method described in the CPM Text proposing</w:t>
      </w:r>
      <w:r w:rsidR="001F7C63" w:rsidRPr="00394585">
        <w:t xml:space="preserve"> a</w:t>
      </w:r>
      <w:r w:rsidRPr="00394585">
        <w:t xml:space="preserve"> </w:t>
      </w:r>
      <w:r w:rsidR="00D12C41" w:rsidRPr="00394585">
        <w:t>r</w:t>
      </w:r>
      <w:r w:rsidRPr="00394585">
        <w:t>evis</w:t>
      </w:r>
      <w:r w:rsidR="00A04C82" w:rsidRPr="00394585">
        <w:t xml:space="preserve">ion of RR </w:t>
      </w:r>
      <w:r w:rsidRPr="00394585">
        <w:t xml:space="preserve">N° </w:t>
      </w:r>
      <w:r w:rsidRPr="00394585">
        <w:rPr>
          <w:b/>
        </w:rPr>
        <w:t>5.565</w:t>
      </w:r>
      <w:r w:rsidRPr="00394585">
        <w:t xml:space="preserve"> </w:t>
      </w:r>
      <w:r w:rsidR="00B712FC" w:rsidRPr="00394585">
        <w:t>includ</w:t>
      </w:r>
      <w:r w:rsidR="00A04C82" w:rsidRPr="00394585">
        <w:t>ing</w:t>
      </w:r>
      <w:r w:rsidR="00B712FC" w:rsidRPr="00394585">
        <w:t xml:space="preserve"> </w:t>
      </w:r>
      <w:r w:rsidRPr="00394585">
        <w:t>list</w:t>
      </w:r>
      <w:r w:rsidR="007939D8" w:rsidRPr="00394585">
        <w:t>s</w:t>
      </w:r>
      <w:r w:rsidRPr="00394585">
        <w:t xml:space="preserve"> of frequency band</w:t>
      </w:r>
      <w:r w:rsidR="00B07E62" w:rsidRPr="00394585">
        <w:t>s</w:t>
      </w:r>
      <w:r w:rsidR="0076637D" w:rsidRPr="00394585">
        <w:t xml:space="preserve"> for </w:t>
      </w:r>
      <w:r w:rsidR="0076637D" w:rsidRPr="00394585">
        <w:rPr>
          <w:sz w:val="22"/>
          <w:szCs w:val="22"/>
        </w:rPr>
        <w:t>Radio Astronomy service, Earth Exploration Satellite Service and Space Research service</w:t>
      </w:r>
      <w:r w:rsidR="00B05774" w:rsidRPr="00394585">
        <w:rPr>
          <w:sz w:val="22"/>
          <w:szCs w:val="22"/>
        </w:rPr>
        <w:t>.</w:t>
      </w:r>
    </w:p>
    <w:p w:rsidR="004D4ED3" w:rsidRPr="00394585" w:rsidRDefault="004D4ED3" w:rsidP="003C6D4E"/>
    <w:p w:rsidR="00870479" w:rsidRDefault="00870479" w:rsidP="00C075C0">
      <w:pPr>
        <w:pStyle w:val="Normalaftertitle"/>
        <w:tabs>
          <w:tab w:val="clear" w:pos="794"/>
          <w:tab w:val="clear" w:pos="1191"/>
          <w:tab w:val="clear" w:pos="1588"/>
          <w:tab w:val="clear" w:pos="1985"/>
          <w:tab w:val="left" w:pos="1134"/>
          <w:tab w:val="left" w:pos="1871"/>
          <w:tab w:val="left" w:pos="2268"/>
        </w:tabs>
        <w:spacing w:before="0"/>
        <w:ind w:left="709" w:hanging="349"/>
        <w:jc w:val="both"/>
      </w:pPr>
      <w:r w:rsidRPr="00394585">
        <w:t>2.</w:t>
      </w:r>
      <w:r w:rsidRPr="00394585">
        <w:tab/>
      </w:r>
      <w:r w:rsidRPr="00394585">
        <w:rPr>
          <w:iCs/>
        </w:rPr>
        <w:t xml:space="preserve">CEPT considers that for </w:t>
      </w:r>
      <w:r w:rsidR="00A448E7" w:rsidRPr="00394585">
        <w:rPr>
          <w:iCs/>
        </w:rPr>
        <w:t xml:space="preserve">free-space optical links, either terrestrial or </w:t>
      </w:r>
      <w:r w:rsidRPr="00394585">
        <w:rPr>
          <w:iCs/>
        </w:rPr>
        <w:t>satellite</w:t>
      </w:r>
      <w:r w:rsidR="00A448E7" w:rsidRPr="00394585">
        <w:rPr>
          <w:iCs/>
        </w:rPr>
        <w:t xml:space="preserve">, </w:t>
      </w:r>
      <w:r w:rsidRPr="00394585">
        <w:rPr>
          <w:iCs/>
        </w:rPr>
        <w:t>neither regulations nor procedures are necessary</w:t>
      </w:r>
      <w:r w:rsidR="00E62E99" w:rsidRPr="00394585">
        <w:rPr>
          <w:iCs/>
        </w:rPr>
        <w:t>.</w:t>
      </w:r>
      <w:r w:rsidR="00E62E99" w:rsidRPr="00394585">
        <w:t xml:space="preserve"> CEPT hence supports </w:t>
      </w:r>
      <w:r w:rsidR="003C6D4E">
        <w:t xml:space="preserve">the </w:t>
      </w:r>
      <w:r w:rsidR="00E62E99" w:rsidRPr="00394585">
        <w:t xml:space="preserve">Method </w:t>
      </w:r>
      <w:r w:rsidR="003C6D4E">
        <w:t xml:space="preserve">described in </w:t>
      </w:r>
      <w:r w:rsidR="00E62E99" w:rsidRPr="00394585">
        <w:t xml:space="preserve">the CPM </w:t>
      </w:r>
      <w:r w:rsidR="009C4313">
        <w:t>t</w:t>
      </w:r>
      <w:r w:rsidR="00E62E99" w:rsidRPr="00394585">
        <w:t xml:space="preserve">ext, which makes no change to </w:t>
      </w:r>
      <w:r w:rsidR="00C84F90" w:rsidRPr="00394585">
        <w:t xml:space="preserve">the </w:t>
      </w:r>
      <w:r w:rsidR="00E62E99" w:rsidRPr="00394585">
        <w:t>RR (</w:t>
      </w:r>
      <w:r w:rsidR="00E62E99" w:rsidRPr="002D44E1">
        <w:rPr>
          <w:u w:val="single"/>
        </w:rPr>
        <w:t>NOC)</w:t>
      </w:r>
      <w:r w:rsidR="00E62E99" w:rsidRPr="00394585">
        <w:t>.</w:t>
      </w:r>
    </w:p>
    <w:p w:rsidR="00870479" w:rsidRPr="007731BD" w:rsidRDefault="00870479" w:rsidP="00C075C0">
      <w:pPr>
        <w:jc w:val="both"/>
        <w:rPr>
          <w:lang w:val="en-US"/>
        </w:rPr>
      </w:pPr>
    </w:p>
    <w:p w:rsidR="00870479" w:rsidRPr="00F644E2" w:rsidRDefault="00870479" w:rsidP="00C075C0">
      <w:pPr>
        <w:jc w:val="both"/>
        <w:rPr>
          <w:b/>
          <w:szCs w:val="24"/>
        </w:rPr>
      </w:pPr>
      <w:r w:rsidRPr="00F644E2">
        <w:rPr>
          <w:b/>
          <w:szCs w:val="24"/>
        </w:rPr>
        <w:t>Background</w:t>
      </w:r>
    </w:p>
    <w:p w:rsidR="00870479" w:rsidRDefault="00870479" w:rsidP="00C075C0">
      <w:pPr>
        <w:tabs>
          <w:tab w:val="left" w:pos="0"/>
          <w:tab w:val="left" w:pos="9216"/>
        </w:tabs>
        <w:ind w:right="2"/>
        <w:jc w:val="both"/>
      </w:pPr>
      <w:r>
        <w:t xml:space="preserve">With regards the 275-3000 GHz range and as an outcome of WRC-03, the preliminary agenda for WRC-2011 was including a possible agenda item to consider frequency allocations between 275 and 3000 GHz. WRC-07 considered that the lack of use of bands above 275 GHz by active services </w:t>
      </w:r>
      <w:r>
        <w:lastRenderedPageBreak/>
        <w:t xml:space="preserve">would have made premature any general consideration of frequency allocations between 275 and 3000 GHz but that, on the other hand, there was an obvious need to consider the use of this frequency range by passive services. </w:t>
      </w:r>
    </w:p>
    <w:p w:rsidR="00870479" w:rsidRDefault="00870479" w:rsidP="00C075C0">
      <w:pPr>
        <w:tabs>
          <w:tab w:val="left" w:pos="0"/>
          <w:tab w:val="left" w:pos="9216"/>
        </w:tabs>
        <w:ind w:right="2"/>
        <w:jc w:val="both"/>
      </w:pPr>
      <w:r>
        <w:t xml:space="preserve">Indeed, some new technological advancements have enabled the implementation of passive measurements in the range 275- 3000 GHz of chemical and physical parameters of high interest of climatological and meteorological purposes and the whole scientific community is currently performing detailed studies to determine the adequate frequency bands above 275 GHz to be used by radio astronomy, Earth exploration-satellite service (EESS) and Space Research Service and related sensors characteristics as well as performance and protection criteria. </w:t>
      </w:r>
    </w:p>
    <w:p w:rsidR="00870479" w:rsidRPr="002A6CC0" w:rsidRDefault="00870479" w:rsidP="00C075C0">
      <w:pPr>
        <w:tabs>
          <w:tab w:val="left" w:pos="0"/>
          <w:tab w:val="left" w:pos="9216"/>
        </w:tabs>
        <w:ind w:right="2"/>
        <w:jc w:val="both"/>
        <w:rPr>
          <w:rStyle w:val="Artref"/>
          <w:color w:val="000000"/>
        </w:rPr>
      </w:pPr>
      <w:r>
        <w:t>WRC-07 recognised that an early assessment of bands of interest above 275 GHz could help the scientific and meteorological communities to prepare next generation passive sensors and instruments and hence agreed to consider at WRC-</w:t>
      </w:r>
      <w:smartTag w:uri="urn:schemas-microsoft-com:office:smarttags" w:element="metricconverter">
        <w:smartTagPr>
          <w:attr w:name="ProductID" w:val="11 a"/>
        </w:smartTagPr>
        <w:r>
          <w:t>1</w:t>
        </w:r>
        <w:r w:rsidRPr="00394585">
          <w:t>1</w:t>
        </w:r>
        <w:r>
          <w:t xml:space="preserve"> a</w:t>
        </w:r>
      </w:smartTag>
      <w:r>
        <w:t xml:space="preserve"> review of RR </w:t>
      </w:r>
      <w:r>
        <w:rPr>
          <w:color w:val="000000"/>
          <w:lang w:eastAsia="ja-JP"/>
        </w:rPr>
        <w:t>No. </w:t>
      </w:r>
      <w:r w:rsidRPr="00C86D39">
        <w:rPr>
          <w:rStyle w:val="Artref"/>
          <w:b/>
          <w:color w:val="000000"/>
        </w:rPr>
        <w:t>5.565</w:t>
      </w:r>
      <w:r w:rsidR="002D44E1">
        <w:rPr>
          <w:rStyle w:val="Artref"/>
          <w:b/>
          <w:color w:val="000000"/>
        </w:rPr>
        <w:t>.</w:t>
      </w:r>
    </w:p>
    <w:p w:rsidR="00000F1D" w:rsidRDefault="00870479" w:rsidP="00C075C0">
      <w:pPr>
        <w:tabs>
          <w:tab w:val="left" w:pos="0"/>
          <w:tab w:val="left" w:pos="9216"/>
        </w:tabs>
        <w:ind w:right="2"/>
        <w:jc w:val="both"/>
      </w:pPr>
      <w:r>
        <w:t xml:space="preserve">In any case, should any allocations of spectrum be considered in the future, reasonable steps would have to be taken in order to ensure that appropriate studies between different services would have to be </w:t>
      </w:r>
      <w:proofErr w:type="gramStart"/>
      <w:r>
        <w:t>made.</w:t>
      </w:r>
      <w:proofErr w:type="gramEnd"/>
    </w:p>
    <w:p w:rsidR="00870479" w:rsidRDefault="00870479" w:rsidP="00C075C0">
      <w:pPr>
        <w:tabs>
          <w:tab w:val="left" w:pos="0"/>
          <w:tab w:val="left" w:pos="9216"/>
        </w:tabs>
        <w:ind w:right="2"/>
        <w:jc w:val="both"/>
      </w:pPr>
      <w:r>
        <w:t>The consideration of optical-links above 3000 GHz in WRC-</w:t>
      </w:r>
      <w:r w:rsidRPr="00394585">
        <w:t>1</w:t>
      </w:r>
      <w:r w:rsidR="00401907" w:rsidRPr="00394585">
        <w:t>2</w:t>
      </w:r>
      <w:r>
        <w:t xml:space="preserve"> agenda builds upon previous work within ITU-R that led to the adoption of a number Recommendations and </w:t>
      </w:r>
      <w:r w:rsidRPr="00325E75">
        <w:t>Resolution </w:t>
      </w:r>
      <w:r w:rsidRPr="00325E75">
        <w:rPr>
          <w:bCs/>
        </w:rPr>
        <w:t>118</w:t>
      </w:r>
      <w:r w:rsidRPr="00325E75">
        <w:t xml:space="preserve"> (</w:t>
      </w:r>
      <w:smartTag w:uri="urn:schemas-microsoft-com:office:smarttags" w:element="place">
        <w:smartTag w:uri="urn:schemas-microsoft-com:office:smarttags" w:element="City">
          <w:r w:rsidRPr="00325E75">
            <w:t>Marrakesh</w:t>
          </w:r>
        </w:smartTag>
      </w:smartTag>
      <w:r w:rsidRPr="00325E75">
        <w:t>, 2002) of the Plenipotentiary Conference</w:t>
      </w:r>
      <w:r>
        <w:t xml:space="preserve">. Indeed, provision 1005 of the Annex of the ITU Convention limits the “radiocommunications” considered in the RR at frequencies below 3000 GHz and, to this respect, </w:t>
      </w:r>
      <w:r w:rsidRPr="00325E75">
        <w:t>Resolution </w:t>
      </w:r>
      <w:r w:rsidRPr="00325E75">
        <w:rPr>
          <w:bCs/>
        </w:rPr>
        <w:t>118</w:t>
      </w:r>
      <w:r w:rsidRPr="00325E75">
        <w:t xml:space="preserve"> (Marrakesh, 2002)</w:t>
      </w:r>
      <w:r>
        <w:t xml:space="preserve"> </w:t>
      </w:r>
      <w:r w:rsidRPr="00325E75">
        <w:t xml:space="preserve">instructs the Director of the BR to report to world radiocommunication conferences on the progress of </w:t>
      </w:r>
      <w:r>
        <w:t>ITU</w:t>
      </w:r>
      <w:r>
        <w:noBreakHyphen/>
      </w:r>
      <w:r w:rsidRPr="00325E75">
        <w:t>R studies concerning the use of frequencies above 3 000</w:t>
      </w:r>
      <w:r>
        <w:t> GHz and resolves that such issues can be now considered by WRC’s. Despite lack of evidence of a need for any regulations related to these optical-links nor large consensus during WRC-</w:t>
      </w:r>
      <w:smartTag w:uri="urn:schemas-microsoft-com:office:smarttags" w:element="metricconverter">
        <w:smartTagPr>
          <w:attr w:name="ProductID" w:val="07, a"/>
        </w:smartTagPr>
        <w:r>
          <w:t>07, a</w:t>
        </w:r>
      </w:smartTag>
      <w:r>
        <w:t xml:space="preserve"> compromise was found to study this issue not only considering fixed optical links but all types of applications that are currently using or planning to use these optical  frequencies. </w:t>
      </w:r>
    </w:p>
    <w:p w:rsidR="00870479" w:rsidRDefault="00870479" w:rsidP="00C075C0">
      <w:pPr>
        <w:jc w:val="both"/>
        <w:rPr>
          <w:b/>
        </w:rPr>
      </w:pPr>
    </w:p>
    <w:p w:rsidR="00870479" w:rsidRDefault="00870479" w:rsidP="00C075C0">
      <w:pPr>
        <w:rPr>
          <w:b/>
        </w:rPr>
      </w:pPr>
      <w:r w:rsidRPr="006F387D">
        <w:rPr>
          <w:b/>
        </w:rPr>
        <w:t>Summary of technical and operational studies and relevant ITU-R Recommendations</w:t>
      </w:r>
    </w:p>
    <w:p w:rsidR="00870479" w:rsidRDefault="00870479" w:rsidP="00C075C0">
      <w:pPr>
        <w:numPr>
          <w:ilvl w:val="0"/>
          <w:numId w:val="6"/>
        </w:numPr>
        <w:rPr>
          <w:b/>
        </w:rPr>
      </w:pPr>
      <w:r>
        <w:rPr>
          <w:b/>
        </w:rPr>
        <w:t>EESS</w:t>
      </w:r>
    </w:p>
    <w:p w:rsidR="00870479" w:rsidRDefault="00A448E7" w:rsidP="00C075C0">
      <w:pPr>
        <w:jc w:val="both"/>
        <w:rPr>
          <w:szCs w:val="24"/>
          <w:lang w:eastAsia="zh-CN"/>
        </w:rPr>
      </w:pPr>
      <w:r>
        <w:rPr>
          <w:szCs w:val="24"/>
          <w:lang w:eastAsia="zh-CN"/>
        </w:rPr>
        <w:t xml:space="preserve">Initially, </w:t>
      </w:r>
      <w:r w:rsidR="00870479">
        <w:rPr>
          <w:szCs w:val="24"/>
          <w:lang w:eastAsia="zh-CN"/>
        </w:rPr>
        <w:t>WP7C considered the need to ensure coordination among all potential users stressing in particular some of the important international bodies that could be consulted (SFCG, IEEE-IGARSS and ITWG) and proposed the following guidelines:</w:t>
      </w:r>
    </w:p>
    <w:p w:rsidR="00870479" w:rsidRPr="006D3381" w:rsidRDefault="00870479" w:rsidP="00C075C0">
      <w:pPr>
        <w:pStyle w:val="enumlev1"/>
        <w:jc w:val="both"/>
      </w:pPr>
      <w:r>
        <w:t>1</w:t>
      </w:r>
      <w:r>
        <w:tab/>
        <w:t xml:space="preserve">For each frequency band the specific spectral line(s) and reference windows should be identified (atmospheric component and spectral line frequency or central frequency for reference windows). </w:t>
      </w:r>
    </w:p>
    <w:p w:rsidR="00870479" w:rsidRPr="004D3068" w:rsidRDefault="00870479" w:rsidP="00C075C0">
      <w:pPr>
        <w:pStyle w:val="enumlev1"/>
        <w:jc w:val="both"/>
        <w:rPr>
          <w:b/>
        </w:rPr>
      </w:pPr>
      <w:r>
        <w:t>2</w:t>
      </w:r>
      <w:r>
        <w:tab/>
        <w:t>The required bandwidth should be minimized and technically consistent with the required resolution of the measurement.</w:t>
      </w:r>
    </w:p>
    <w:p w:rsidR="00870479" w:rsidRDefault="00870479" w:rsidP="00C075C0">
      <w:pPr>
        <w:pStyle w:val="enumlev1"/>
        <w:jc w:val="both"/>
      </w:pPr>
      <w:r>
        <w:t>3</w:t>
      </w:r>
      <w:r>
        <w:tab/>
        <w:t xml:space="preserve">In case of </w:t>
      </w:r>
      <w:r w:rsidRPr="004D3068">
        <w:t xml:space="preserve">atmospheric components </w:t>
      </w:r>
      <w:r>
        <w:t>that can be measured at different frequencies, technical/scientific reasons justifying each of the options should be given.</w:t>
      </w:r>
    </w:p>
    <w:p w:rsidR="00870479" w:rsidRDefault="00870479" w:rsidP="00C075C0">
      <w:pPr>
        <w:jc w:val="both"/>
      </w:pPr>
      <w:r w:rsidRPr="00343823">
        <w:t xml:space="preserve">Subsequently, based on a detailed work performed within the Space-Frequency Coordination Group (SFCG) on the basis of inputs from number of space agencies, </w:t>
      </w:r>
      <w:smartTag w:uri="urn:schemas-microsoft-com:office:smarttags" w:element="PersonName">
        <w:r w:rsidR="006A7D83">
          <w:t>ITU-R</w:t>
        </w:r>
      </w:smartTag>
      <w:r w:rsidR="006A7D83">
        <w:t xml:space="preserve"> Study Group 7 adopted </w:t>
      </w:r>
      <w:r w:rsidRPr="00343823">
        <w:t xml:space="preserve">Report </w:t>
      </w:r>
      <w:smartTag w:uri="urn:schemas-microsoft-com:office:smarttags" w:element="PersonName">
        <w:r w:rsidR="00EA0F2E">
          <w:t>ITU-R</w:t>
        </w:r>
      </w:smartTag>
      <w:r w:rsidR="00EA0F2E">
        <w:t xml:space="preserve"> </w:t>
      </w:r>
      <w:r w:rsidR="00810BA2">
        <w:t xml:space="preserve">RS.2194 </w:t>
      </w:r>
      <w:r w:rsidRPr="00343823">
        <w:t xml:space="preserve">“passive bands of </w:t>
      </w:r>
      <w:r w:rsidR="00810BA2">
        <w:t xml:space="preserve">scientific </w:t>
      </w:r>
      <w:r w:rsidRPr="00343823">
        <w:t>interest to EESS</w:t>
      </w:r>
      <w:r w:rsidR="00810BA2">
        <w:t>/SRS</w:t>
      </w:r>
      <w:r w:rsidRPr="00343823">
        <w:t xml:space="preserve"> from 275 GHz to 3000 GHz”</w:t>
      </w:r>
      <w:r w:rsidR="00A345DB" w:rsidRPr="00343823">
        <w:t xml:space="preserve"> </w:t>
      </w:r>
      <w:r w:rsidRPr="00343823">
        <w:t>represent</w:t>
      </w:r>
      <w:r w:rsidR="00A345DB" w:rsidRPr="00343823">
        <w:t>ing</w:t>
      </w:r>
      <w:r w:rsidRPr="00343823">
        <w:t xml:space="preserve"> </w:t>
      </w:r>
      <w:r w:rsidR="005D6D29" w:rsidRPr="00343823">
        <w:t>up-to-date</w:t>
      </w:r>
      <w:r w:rsidRPr="00343823">
        <w:t xml:space="preserve"> status for the range 275 GHz to </w:t>
      </w:r>
      <w:r w:rsidR="00C51136">
        <w:t xml:space="preserve">3000 GHz </w:t>
      </w:r>
      <w:r w:rsidRPr="00343823">
        <w:t>considering in particular passive remote sensing systems that either use or plan to use frequency bands in this frequen</w:t>
      </w:r>
      <w:r w:rsidR="00343823" w:rsidRPr="00343823">
        <w:t xml:space="preserve">cy </w:t>
      </w:r>
      <w:r w:rsidR="00343823" w:rsidRPr="00343823">
        <w:lastRenderedPageBreak/>
        <w:t xml:space="preserve">range, such as MLS, </w:t>
      </w:r>
      <w:r w:rsidR="00EC26D6">
        <w:t>STEAMR(PREMIER)</w:t>
      </w:r>
      <w:r w:rsidR="00343823" w:rsidRPr="00343823">
        <w:t xml:space="preserve">, </w:t>
      </w:r>
      <w:r w:rsidRPr="00343823">
        <w:t>MWI</w:t>
      </w:r>
      <w:r w:rsidR="00EC26D6">
        <w:t xml:space="preserve"> (ICI)</w:t>
      </w:r>
      <w:r w:rsidR="005E61E6" w:rsidRPr="00343823">
        <w:t>,</w:t>
      </w:r>
      <w:r w:rsidRPr="00343823">
        <w:t xml:space="preserve"> GEM, GOMAS, CLOUD</w:t>
      </w:r>
      <w:r w:rsidR="00EC26D6">
        <w:t>ICE</w:t>
      </w:r>
      <w:r w:rsidRPr="00343823">
        <w:t>, ODIN or SMILES.</w:t>
      </w:r>
    </w:p>
    <w:p w:rsidR="00A8261C" w:rsidRDefault="00870479" w:rsidP="00C075C0">
      <w:pPr>
        <w:jc w:val="both"/>
      </w:pPr>
      <w:r>
        <w:t>Th</w:t>
      </w:r>
      <w:r w:rsidR="006A7D83">
        <w:t>is</w:t>
      </w:r>
      <w:r w:rsidR="006A56A4">
        <w:t xml:space="preserve"> R</w:t>
      </w:r>
      <w:r>
        <w:t xml:space="preserve">eport develops on the </w:t>
      </w:r>
      <w:r w:rsidRPr="00091748">
        <w:t>two primary EESS measurement “classes”, namely</w:t>
      </w:r>
      <w:r>
        <w:t xml:space="preserve"> </w:t>
      </w:r>
      <w:r w:rsidRPr="00091748">
        <w:t>meteorology/climato</w:t>
      </w:r>
      <w:r>
        <w:t xml:space="preserve">logy and atmospheric chemistry and provides relevant explanation information on specific requirement related to </w:t>
      </w:r>
      <w:r w:rsidRPr="00091748">
        <w:t>meteorology/climato</w:t>
      </w:r>
      <w:r>
        <w:t>logy for “wings” and “windows” concepts</w:t>
      </w:r>
      <w:r w:rsidR="00A8261C">
        <w:t xml:space="preserve">. </w:t>
      </w:r>
      <w:r>
        <w:t xml:space="preserve">For bands between 275 and 1000 GHz, this </w:t>
      </w:r>
      <w:r w:rsidR="00A8261C">
        <w:t>R</w:t>
      </w:r>
      <w:r>
        <w:t>eport makes a specific point on the c</w:t>
      </w:r>
      <w:r w:rsidRPr="00091748">
        <w:t xml:space="preserve">loud ice and water vapour </w:t>
      </w:r>
      <w:r>
        <w:t xml:space="preserve">measurements that are </w:t>
      </w:r>
      <w:r w:rsidRPr="00091748">
        <w:t xml:space="preserve">both </w:t>
      </w:r>
      <w:r>
        <w:t xml:space="preserve">not sufficiently </w:t>
      </w:r>
      <w:r w:rsidRPr="00091748">
        <w:t>measured</w:t>
      </w:r>
      <w:r w:rsidRPr="001A3147">
        <w:t xml:space="preserve"> </w:t>
      </w:r>
      <w:r w:rsidRPr="00091748">
        <w:t>currently</w:t>
      </w:r>
      <w:r>
        <w:t xml:space="preserve">, although being </w:t>
      </w:r>
      <w:r w:rsidRPr="00091748">
        <w:t>two components of the hydrological cycle in the upper troposphere</w:t>
      </w:r>
      <w:r>
        <w:t xml:space="preserve"> which is </w:t>
      </w:r>
      <w:r w:rsidRPr="00091748">
        <w:t>the most important subsystem of the climate system for life on the planet and its understanding is of the utmost importance</w:t>
      </w:r>
      <w:r>
        <w:t>.</w:t>
      </w:r>
    </w:p>
    <w:p w:rsidR="00A8261C" w:rsidRDefault="00A8261C" w:rsidP="00C075C0">
      <w:pPr>
        <w:jc w:val="both"/>
      </w:pPr>
      <w:r>
        <w:t>For bands above 1000 GHz, it is already agreed that w</w:t>
      </w:r>
      <w:r w:rsidRPr="00091748">
        <w:t>ater vapour and oxygen resonance lines above 1</w:t>
      </w:r>
      <w:r>
        <w:t xml:space="preserve"> </w:t>
      </w:r>
      <w:r w:rsidRPr="00091748">
        <w:t>000 GHz are not expected to be of interest for</w:t>
      </w:r>
      <w:r>
        <w:t xml:space="preserve"> </w:t>
      </w:r>
      <w:r w:rsidRPr="00091748">
        <w:t>meteorological/climatological investigations</w:t>
      </w:r>
      <w:r>
        <w:t xml:space="preserve">.  Concerning chemistry applications, </w:t>
      </w:r>
      <w:r w:rsidR="00B97CBD" w:rsidRPr="0040371C">
        <w:rPr>
          <w:lang w:val="en-US"/>
        </w:rPr>
        <w:t>the atmospheric chemistry spectral lines become extremely dense above 1 000 GHz, meaning that, potentially, any frequency above 1 000 GHz could be used for future measurements from satellites</w:t>
      </w:r>
      <w:r w:rsidR="00B97CBD">
        <w:t xml:space="preserve">. However, since </w:t>
      </w:r>
      <w:r w:rsidR="00B97CBD" w:rsidRPr="0040371C">
        <w:rPr>
          <w:lang w:val="en-US"/>
        </w:rPr>
        <w:t>the Earth’s atmosphere is virtually opaque at frequencies above 1 000 GHz</w:t>
      </w:r>
      <w:r w:rsidR="00B97CBD">
        <w:rPr>
          <w:lang w:val="en-US"/>
        </w:rPr>
        <w:t xml:space="preserve">, </w:t>
      </w:r>
      <w:r w:rsidR="00B97CBD" w:rsidRPr="0040371C">
        <w:rPr>
          <w:lang w:val="en-US"/>
        </w:rPr>
        <w:t xml:space="preserve">terrestrial </w:t>
      </w:r>
      <w:r w:rsidR="00B97CBD">
        <w:rPr>
          <w:lang w:val="en-US"/>
        </w:rPr>
        <w:t xml:space="preserve">active </w:t>
      </w:r>
      <w:r w:rsidR="00B97CBD" w:rsidRPr="0040371C">
        <w:rPr>
          <w:lang w:val="en-US"/>
        </w:rPr>
        <w:t xml:space="preserve">services would not present interference potential to </w:t>
      </w:r>
      <w:proofErr w:type="spellStart"/>
      <w:r w:rsidR="00B97CBD" w:rsidRPr="0040371C">
        <w:rPr>
          <w:lang w:val="en-US"/>
        </w:rPr>
        <w:t>spaceborne</w:t>
      </w:r>
      <w:proofErr w:type="spellEnd"/>
      <w:r w:rsidR="00B97CBD" w:rsidRPr="0040371C">
        <w:rPr>
          <w:lang w:val="en-US"/>
        </w:rPr>
        <w:t xml:space="preserve"> passive sensors</w:t>
      </w:r>
      <w:r w:rsidR="00B97CBD">
        <w:rPr>
          <w:lang w:val="en-US"/>
        </w:rPr>
        <w:t>. In addition, initial sharing studies between EESS (passive) and ISS show that sharing should be feasible. Therefore</w:t>
      </w:r>
      <w:r w:rsidR="007B1317">
        <w:rPr>
          <w:lang w:val="en-US"/>
        </w:rPr>
        <w:t xml:space="preserve">, </w:t>
      </w:r>
      <w:smartTag w:uri="urn:schemas-microsoft-com:office:smarttags" w:element="PersonName">
        <w:r w:rsidR="006A7D83">
          <w:rPr>
            <w:lang w:val="en-US"/>
          </w:rPr>
          <w:t>ITU-R</w:t>
        </w:r>
      </w:smartTag>
      <w:r w:rsidR="006A7D83">
        <w:rPr>
          <w:lang w:val="en-US"/>
        </w:rPr>
        <w:t xml:space="preserve"> concludes that </w:t>
      </w:r>
      <w:r w:rsidR="007B1317">
        <w:rPr>
          <w:lang w:val="en-US"/>
        </w:rPr>
        <w:t xml:space="preserve">EESS(passive) use above 1000 GHz </w:t>
      </w:r>
      <w:r w:rsidR="00B97CBD" w:rsidRPr="0040371C">
        <w:rPr>
          <w:color w:val="000000"/>
          <w:lang w:val="en-US"/>
        </w:rPr>
        <w:t>will not put any constraint on systems of active terrestrial services that may be deployed in the future in this frequency range</w:t>
      </w:r>
    </w:p>
    <w:p w:rsidR="00D12C41" w:rsidRPr="006470E3" w:rsidRDefault="00D12C41" w:rsidP="00C075C0">
      <w:pPr>
        <w:rPr>
          <w:i/>
        </w:rPr>
      </w:pPr>
    </w:p>
    <w:p w:rsidR="00870479" w:rsidRDefault="00870479" w:rsidP="00C075C0">
      <w:pPr>
        <w:numPr>
          <w:ilvl w:val="0"/>
          <w:numId w:val="6"/>
        </w:numPr>
        <w:rPr>
          <w:b/>
        </w:rPr>
      </w:pPr>
      <w:proofErr w:type="spellStart"/>
      <w:r>
        <w:rPr>
          <w:b/>
        </w:rPr>
        <w:t>Radioastronomy</w:t>
      </w:r>
      <w:proofErr w:type="spellEnd"/>
    </w:p>
    <w:p w:rsidR="00870479" w:rsidRDefault="00870479" w:rsidP="00C075C0">
      <w:pPr>
        <w:jc w:val="both"/>
        <w:rPr>
          <w:szCs w:val="24"/>
        </w:rPr>
      </w:pPr>
      <w:r>
        <w:rPr>
          <w:szCs w:val="24"/>
        </w:rPr>
        <w:t xml:space="preserve">The understanding of molecules states requires the detection of multiple line transitions that </w:t>
      </w:r>
      <w:r w:rsidRPr="00016148">
        <w:rPr>
          <w:szCs w:val="24"/>
        </w:rPr>
        <w:t xml:space="preserve">are very </w:t>
      </w:r>
      <w:r>
        <w:rPr>
          <w:szCs w:val="24"/>
        </w:rPr>
        <w:t>numerous at frequencies above 275</w:t>
      </w:r>
      <w:r w:rsidRPr="00016148">
        <w:rPr>
          <w:szCs w:val="24"/>
        </w:rPr>
        <w:t xml:space="preserve"> GHz</w:t>
      </w:r>
      <w:r>
        <w:rPr>
          <w:szCs w:val="24"/>
        </w:rPr>
        <w:t xml:space="preserve">. It can be stressed that </w:t>
      </w:r>
      <w:r w:rsidRPr="00016148">
        <w:rPr>
          <w:szCs w:val="24"/>
        </w:rPr>
        <w:t>known molecular transitions observed in the atmospheric windows between 275 and 3000 GHz already produces a list of 2441 molecular transitions for more than 220 molecules</w:t>
      </w:r>
      <w:r>
        <w:rPr>
          <w:szCs w:val="24"/>
        </w:rPr>
        <w:t xml:space="preserve">. As such, and noting further that </w:t>
      </w:r>
      <w:r w:rsidRPr="00016148">
        <w:rPr>
          <w:szCs w:val="24"/>
        </w:rPr>
        <w:t xml:space="preserve">this list will be evolving with time </w:t>
      </w:r>
      <w:r>
        <w:rPr>
          <w:szCs w:val="24"/>
        </w:rPr>
        <w:t xml:space="preserve">with developments of processes </w:t>
      </w:r>
      <w:r w:rsidRPr="00016148">
        <w:rPr>
          <w:szCs w:val="24"/>
        </w:rPr>
        <w:t xml:space="preserve">understanding </w:t>
      </w:r>
      <w:r>
        <w:rPr>
          <w:szCs w:val="24"/>
        </w:rPr>
        <w:t xml:space="preserve">or sensitivity improvements, </w:t>
      </w:r>
      <w:r w:rsidRPr="00016148">
        <w:rPr>
          <w:szCs w:val="24"/>
        </w:rPr>
        <w:t xml:space="preserve">it </w:t>
      </w:r>
      <w:r>
        <w:rPr>
          <w:szCs w:val="24"/>
        </w:rPr>
        <w:t>appears im</w:t>
      </w:r>
      <w:r w:rsidRPr="00016148">
        <w:rPr>
          <w:szCs w:val="24"/>
        </w:rPr>
        <w:t>possible to identify bands for each of these molecular transitions or to shorten the complete list of molecules to those most important.</w:t>
      </w:r>
    </w:p>
    <w:p w:rsidR="00870479" w:rsidRDefault="00870479" w:rsidP="00C075C0">
      <w:pPr>
        <w:jc w:val="both"/>
        <w:rPr>
          <w:szCs w:val="24"/>
        </w:rPr>
      </w:pPr>
      <w:r>
        <w:rPr>
          <w:szCs w:val="24"/>
        </w:rPr>
        <w:t xml:space="preserve">In addition, Doppler shift and in particular so-called </w:t>
      </w:r>
      <w:r w:rsidRPr="00016148">
        <w:rPr>
          <w:szCs w:val="24"/>
        </w:rPr>
        <w:t xml:space="preserve">redshift </w:t>
      </w:r>
      <w:r>
        <w:rPr>
          <w:szCs w:val="24"/>
        </w:rPr>
        <w:t>(i.e. Doppler downward shift due to t</w:t>
      </w:r>
      <w:r w:rsidRPr="00016148">
        <w:rPr>
          <w:szCs w:val="24"/>
        </w:rPr>
        <w:t>he recessional velocity of distant galaxies</w:t>
      </w:r>
      <w:r>
        <w:rPr>
          <w:szCs w:val="24"/>
        </w:rPr>
        <w:t>) plays and will play an increasing role in molecular studies since c</w:t>
      </w:r>
      <w:r w:rsidRPr="00016148">
        <w:rPr>
          <w:szCs w:val="24"/>
        </w:rPr>
        <w:t>urrent and future studies with new generation instruments such as APEX and ALMA will concentrate on extragalactic studies of powerful high redshift galaxies and quasars.</w:t>
      </w:r>
    </w:p>
    <w:p w:rsidR="00870479" w:rsidRDefault="00870479" w:rsidP="00C075C0">
      <w:pPr>
        <w:jc w:val="both"/>
        <w:rPr>
          <w:szCs w:val="24"/>
        </w:rPr>
      </w:pPr>
      <w:r w:rsidRPr="00870479">
        <w:rPr>
          <w:szCs w:val="24"/>
        </w:rPr>
        <w:t xml:space="preserve">In </w:t>
      </w:r>
      <w:smartTag w:uri="urn:schemas-microsoft-com:office:smarttags" w:element="place">
        <w:r w:rsidRPr="00870479">
          <w:rPr>
            <w:szCs w:val="24"/>
          </w:rPr>
          <w:t>Europe</w:t>
        </w:r>
      </w:smartTag>
      <w:r w:rsidRPr="00870479">
        <w:rPr>
          <w:szCs w:val="24"/>
        </w:rPr>
        <w:t xml:space="preserve">, it is expected that only the Plateau de </w:t>
      </w:r>
      <w:proofErr w:type="spellStart"/>
      <w:r w:rsidRPr="00870479">
        <w:rPr>
          <w:szCs w:val="24"/>
        </w:rPr>
        <w:t>Bure</w:t>
      </w:r>
      <w:proofErr w:type="spellEnd"/>
      <w:r w:rsidRPr="00870479">
        <w:rPr>
          <w:szCs w:val="24"/>
        </w:rPr>
        <w:t xml:space="preserve"> and Pico </w:t>
      </w:r>
      <w:proofErr w:type="spellStart"/>
      <w:r w:rsidRPr="00870479">
        <w:rPr>
          <w:szCs w:val="24"/>
        </w:rPr>
        <w:t>Veleta</w:t>
      </w:r>
      <w:proofErr w:type="spellEnd"/>
      <w:r w:rsidRPr="00870479">
        <w:rPr>
          <w:szCs w:val="24"/>
        </w:rPr>
        <w:t xml:space="preserve"> radio astronomy sites could support such measurements but important European interests on most of future generation instruments/stations, even located outside </w:t>
      </w:r>
      <w:smartTag w:uri="urn:schemas-microsoft-com:office:smarttags" w:element="place">
        <w:r w:rsidRPr="00870479">
          <w:rPr>
            <w:szCs w:val="24"/>
          </w:rPr>
          <w:t>Europe</w:t>
        </w:r>
      </w:smartTag>
      <w:r w:rsidRPr="00870479">
        <w:rPr>
          <w:szCs w:val="24"/>
        </w:rPr>
        <w:t xml:space="preserve"> such as the Atacama Large </w:t>
      </w:r>
      <w:proofErr w:type="spellStart"/>
      <w:r w:rsidRPr="00870479">
        <w:rPr>
          <w:szCs w:val="24"/>
        </w:rPr>
        <w:t>Millimeter</w:t>
      </w:r>
      <w:proofErr w:type="spellEnd"/>
      <w:r w:rsidRPr="00870479">
        <w:rPr>
          <w:szCs w:val="24"/>
        </w:rPr>
        <w:t>/</w:t>
      </w:r>
      <w:proofErr w:type="spellStart"/>
      <w:r w:rsidRPr="00870479">
        <w:rPr>
          <w:szCs w:val="24"/>
        </w:rPr>
        <w:t>submillimeter</w:t>
      </w:r>
      <w:proofErr w:type="spellEnd"/>
      <w:r w:rsidRPr="00870479">
        <w:rPr>
          <w:szCs w:val="24"/>
        </w:rPr>
        <w:t xml:space="preserve"> Array (ALMA) in </w:t>
      </w:r>
      <w:smartTag w:uri="urn:schemas-microsoft-com:office:smarttags" w:element="country-region">
        <w:smartTag w:uri="urn:schemas-microsoft-com:office:smarttags" w:element="place">
          <w:r w:rsidRPr="00870479">
            <w:rPr>
              <w:szCs w:val="24"/>
            </w:rPr>
            <w:t>Chile</w:t>
          </w:r>
        </w:smartTag>
      </w:smartTag>
      <w:r w:rsidRPr="00870479">
        <w:rPr>
          <w:szCs w:val="24"/>
        </w:rPr>
        <w:t xml:space="preserve"> are to be stressed.</w:t>
      </w:r>
    </w:p>
    <w:p w:rsidR="00870479" w:rsidRDefault="00870479" w:rsidP="00C075C0">
      <w:pPr>
        <w:jc w:val="both"/>
        <w:rPr>
          <w:szCs w:val="24"/>
        </w:rPr>
      </w:pPr>
      <w:r>
        <w:rPr>
          <w:szCs w:val="24"/>
        </w:rPr>
        <w:t xml:space="preserve">WP7D further studied the issue and made a separate analysis within the different frequency ranges: </w:t>
      </w:r>
    </w:p>
    <w:p w:rsidR="00870479" w:rsidRPr="00762A4B" w:rsidRDefault="00870479" w:rsidP="00C075C0">
      <w:pPr>
        <w:jc w:val="both"/>
        <w:rPr>
          <w:szCs w:val="24"/>
        </w:rPr>
      </w:pPr>
      <w:r>
        <w:rPr>
          <w:szCs w:val="24"/>
        </w:rPr>
        <w:t xml:space="preserve">1) </w:t>
      </w:r>
      <w:proofErr w:type="gramStart"/>
      <w:r w:rsidRPr="00762A4B">
        <w:rPr>
          <w:szCs w:val="24"/>
        </w:rPr>
        <w:t>it</w:t>
      </w:r>
      <w:proofErr w:type="gramEnd"/>
      <w:r w:rsidRPr="00762A4B">
        <w:rPr>
          <w:szCs w:val="24"/>
        </w:rPr>
        <w:t xml:space="preserve"> does not appear opportune to identify individual molecular transitions within the known atmospheric bands for radio astronomy and </w:t>
      </w:r>
      <w:proofErr w:type="spellStart"/>
      <w:r w:rsidRPr="00762A4B">
        <w:rPr>
          <w:szCs w:val="24"/>
        </w:rPr>
        <w:t>aeronomy</w:t>
      </w:r>
      <w:proofErr w:type="spellEnd"/>
      <w:r w:rsidRPr="00762A4B">
        <w:rPr>
          <w:szCs w:val="24"/>
        </w:rPr>
        <w:t xml:space="preserve"> studies for which the access to the whole frequency range 275-</w:t>
      </w:r>
      <w:r>
        <w:rPr>
          <w:szCs w:val="24"/>
        </w:rPr>
        <w:t>1</w:t>
      </w:r>
      <w:r w:rsidRPr="00762A4B">
        <w:rPr>
          <w:szCs w:val="24"/>
        </w:rPr>
        <w:t>000 GHz is important.</w:t>
      </w:r>
    </w:p>
    <w:p w:rsidR="00870479" w:rsidRDefault="00870479" w:rsidP="00C075C0">
      <w:pPr>
        <w:jc w:val="both"/>
        <w:rPr>
          <w:szCs w:val="24"/>
        </w:rPr>
      </w:pPr>
      <w:r>
        <w:rPr>
          <w:szCs w:val="24"/>
        </w:rPr>
        <w:t>On the other hand, it should be considered that, due to atmospheric conditions, t</w:t>
      </w:r>
      <w:r w:rsidRPr="00016148">
        <w:rPr>
          <w:szCs w:val="24"/>
        </w:rPr>
        <w:t>he Earth atmosphere prevents doing Radio Astronomy observations in the frequency range 275 – 3000 GHz except at a small number of high mountain plateaus</w:t>
      </w:r>
      <w:r>
        <w:rPr>
          <w:szCs w:val="24"/>
        </w:rPr>
        <w:t xml:space="preserve">, hence allowing for a limited required geographical coordination for few sites worldwide, further noting that at these frequencies, the </w:t>
      </w:r>
      <w:r>
        <w:rPr>
          <w:szCs w:val="24"/>
        </w:rPr>
        <w:lastRenderedPageBreak/>
        <w:t xml:space="preserve">propagation conditions will allow for </w:t>
      </w:r>
      <w:r w:rsidRPr="00016148">
        <w:rPr>
          <w:szCs w:val="24"/>
        </w:rPr>
        <w:t xml:space="preserve">only operational restrictions in the immediate vicinity of these high observing stations where the population density will </w:t>
      </w:r>
      <w:r>
        <w:rPr>
          <w:szCs w:val="24"/>
        </w:rPr>
        <w:t>also be</w:t>
      </w:r>
      <w:r w:rsidRPr="00016148">
        <w:rPr>
          <w:szCs w:val="24"/>
        </w:rPr>
        <w:t xml:space="preserve"> low</w:t>
      </w:r>
      <w:r>
        <w:rPr>
          <w:szCs w:val="24"/>
        </w:rPr>
        <w:t>.</w:t>
      </w:r>
    </w:p>
    <w:p w:rsidR="00870479" w:rsidRDefault="00870479" w:rsidP="00C075C0">
      <w:pPr>
        <w:jc w:val="both"/>
        <w:rPr>
          <w:szCs w:val="24"/>
        </w:rPr>
      </w:pPr>
      <w:r>
        <w:rPr>
          <w:szCs w:val="24"/>
        </w:rPr>
        <w:t xml:space="preserve">2) For bands between 1 and 3 THz, </w:t>
      </w:r>
      <w:smartTag w:uri="urn:schemas-microsoft-com:office:smarttags" w:element="PersonName">
        <w:r w:rsidR="006A7D83">
          <w:rPr>
            <w:szCs w:val="24"/>
          </w:rPr>
          <w:t>ITU-R</w:t>
        </w:r>
      </w:smartTag>
      <w:r w:rsidR="006A7D83">
        <w:rPr>
          <w:szCs w:val="24"/>
        </w:rPr>
        <w:t xml:space="preserve"> </w:t>
      </w:r>
      <w:r w:rsidR="00786914">
        <w:rPr>
          <w:szCs w:val="24"/>
        </w:rPr>
        <w:t xml:space="preserve">adopted </w:t>
      </w:r>
      <w:r w:rsidR="006A7D83">
        <w:t xml:space="preserve">Recommendation </w:t>
      </w:r>
      <w:smartTag w:uri="urn:schemas-microsoft-com:office:smarttags" w:element="PersonName">
        <w:r w:rsidR="006A7D83" w:rsidRPr="001C4059">
          <w:rPr>
            <w:rStyle w:val="href"/>
          </w:rPr>
          <w:t>ITU-R</w:t>
        </w:r>
      </w:smartTag>
      <w:r w:rsidR="006A7D83" w:rsidRPr="001C4059">
        <w:rPr>
          <w:rStyle w:val="href"/>
        </w:rPr>
        <w:t> RA.</w:t>
      </w:r>
      <w:r w:rsidR="006A7D83">
        <w:rPr>
          <w:rStyle w:val="href"/>
        </w:rPr>
        <w:t xml:space="preserve">1860 </w:t>
      </w:r>
      <w:r>
        <w:t>on “</w:t>
      </w:r>
      <w:r w:rsidRPr="00F07A0E">
        <w:t>Preferred frequen</w:t>
      </w:r>
      <w:r>
        <w:t xml:space="preserve">cy bands for radio astronomical </w:t>
      </w:r>
      <w:r w:rsidRPr="00F07A0E">
        <w:t>measurements in the range 1-3 THz</w:t>
      </w:r>
      <w:r>
        <w:t>”</w:t>
      </w:r>
      <w:r>
        <w:rPr>
          <w:szCs w:val="24"/>
        </w:rPr>
        <w:t xml:space="preserve"> considering the high level of atmospheric attenuation experienced at these frequencies and that currently provide the following elements:</w:t>
      </w:r>
    </w:p>
    <w:p w:rsidR="00786914" w:rsidRDefault="00786914" w:rsidP="00C075C0">
      <w:pPr>
        <w:tabs>
          <w:tab w:val="clear" w:pos="794"/>
        </w:tabs>
        <w:ind w:left="851" w:hanging="851"/>
        <w:jc w:val="both"/>
      </w:pPr>
      <w:r>
        <w:rPr>
          <w:szCs w:val="24"/>
        </w:rPr>
        <w:t>-</w:t>
      </w:r>
      <w:r>
        <w:rPr>
          <w:szCs w:val="24"/>
        </w:rPr>
        <w:tab/>
      </w:r>
      <w:r w:rsidR="00835DB5">
        <w:rPr>
          <w:szCs w:val="24"/>
        </w:rPr>
        <w:t>providing the overall list of “</w:t>
      </w:r>
      <w:proofErr w:type="spellStart"/>
      <w:r w:rsidR="00835DB5" w:rsidRPr="003D7ED8">
        <w:rPr>
          <w:rFonts w:hint="eastAsia"/>
          <w:lang w:eastAsia="ja-JP"/>
        </w:rPr>
        <w:t>Astrophysically</w:t>
      </w:r>
      <w:proofErr w:type="spellEnd"/>
      <w:r w:rsidR="00835DB5" w:rsidRPr="003D7ED8">
        <w:rPr>
          <w:rFonts w:hint="eastAsia"/>
          <w:lang w:eastAsia="ja-JP"/>
        </w:rPr>
        <w:t xml:space="preserve"> </w:t>
      </w:r>
      <w:r w:rsidR="00835DB5" w:rsidRPr="003D7ED8">
        <w:rPr>
          <w:lang w:eastAsia="ja-JP"/>
        </w:rPr>
        <w:t>m</w:t>
      </w:r>
      <w:r w:rsidR="00835DB5" w:rsidRPr="003D7ED8">
        <w:rPr>
          <w:rFonts w:hint="eastAsia"/>
          <w:lang w:eastAsia="ja-JP"/>
        </w:rPr>
        <w:t xml:space="preserve">ost </w:t>
      </w:r>
      <w:r w:rsidR="00835DB5" w:rsidRPr="003D7ED8">
        <w:rPr>
          <w:lang w:eastAsia="ja-JP"/>
        </w:rPr>
        <w:t>i</w:t>
      </w:r>
      <w:r w:rsidR="00835DB5" w:rsidRPr="003D7ED8">
        <w:rPr>
          <w:rFonts w:hint="eastAsia"/>
          <w:lang w:eastAsia="ja-JP"/>
        </w:rPr>
        <w:t xml:space="preserve">mportant </w:t>
      </w:r>
      <w:r w:rsidR="00835DB5" w:rsidRPr="003D7ED8">
        <w:rPr>
          <w:lang w:eastAsia="ja-JP"/>
        </w:rPr>
        <w:t>s</w:t>
      </w:r>
      <w:r w:rsidR="00835DB5" w:rsidRPr="003D7ED8">
        <w:rPr>
          <w:rFonts w:hint="eastAsia"/>
          <w:lang w:eastAsia="ja-JP"/>
        </w:rPr>
        <w:t xml:space="preserve">pectral </w:t>
      </w:r>
      <w:r w:rsidR="00835DB5" w:rsidRPr="003D7ED8">
        <w:rPr>
          <w:lang w:eastAsia="ja-JP"/>
        </w:rPr>
        <w:t>l</w:t>
      </w:r>
      <w:r w:rsidR="00835DB5" w:rsidRPr="003D7ED8">
        <w:rPr>
          <w:rFonts w:hint="eastAsia"/>
          <w:lang w:eastAsia="ja-JP"/>
        </w:rPr>
        <w:t xml:space="preserve">ines in the </w:t>
      </w:r>
      <w:r w:rsidR="00835DB5" w:rsidRPr="003D7ED8">
        <w:rPr>
          <w:lang w:eastAsia="ja-JP"/>
        </w:rPr>
        <w:t>f</w:t>
      </w:r>
      <w:r w:rsidR="00835DB5" w:rsidRPr="003D7ED8">
        <w:rPr>
          <w:rFonts w:hint="eastAsia"/>
          <w:lang w:eastAsia="ja-JP"/>
        </w:rPr>
        <w:t xml:space="preserve">requency </w:t>
      </w:r>
      <w:r w:rsidR="00835DB5" w:rsidRPr="003D7ED8">
        <w:rPr>
          <w:lang w:eastAsia="ja-JP"/>
        </w:rPr>
        <w:t>r</w:t>
      </w:r>
      <w:r w:rsidR="00835DB5" w:rsidRPr="003D7ED8">
        <w:rPr>
          <w:rFonts w:hint="eastAsia"/>
          <w:lang w:eastAsia="ja-JP"/>
        </w:rPr>
        <w:t>ange between 1</w:t>
      </w:r>
      <w:r w:rsidR="00835DB5">
        <w:rPr>
          <w:lang w:eastAsia="ja-JP"/>
        </w:rPr>
        <w:t xml:space="preserve"> </w:t>
      </w:r>
      <w:r w:rsidR="00835DB5" w:rsidRPr="003D7ED8">
        <w:rPr>
          <w:rFonts w:hint="eastAsia"/>
          <w:lang w:eastAsia="ja-JP"/>
        </w:rPr>
        <w:t>000 and 3</w:t>
      </w:r>
      <w:r w:rsidR="00835DB5">
        <w:rPr>
          <w:lang w:eastAsia="ja-JP"/>
        </w:rPr>
        <w:t xml:space="preserve"> </w:t>
      </w:r>
      <w:r w:rsidR="00835DB5" w:rsidRPr="003D7ED8">
        <w:rPr>
          <w:rFonts w:hint="eastAsia"/>
          <w:lang w:eastAsia="ja-JP"/>
        </w:rPr>
        <w:t>000 GHz</w:t>
      </w:r>
      <w:r w:rsidR="00835DB5">
        <w:rPr>
          <w:lang w:eastAsia="ja-JP"/>
        </w:rPr>
        <w:t>”</w:t>
      </w:r>
    </w:p>
    <w:p w:rsidR="00870479" w:rsidRDefault="00870479" w:rsidP="00C075C0">
      <w:pPr>
        <w:tabs>
          <w:tab w:val="clear" w:pos="794"/>
        </w:tabs>
        <w:ind w:left="851" w:hanging="851"/>
        <w:jc w:val="both"/>
      </w:pPr>
      <w:r>
        <w:rPr>
          <w:szCs w:val="24"/>
        </w:rPr>
        <w:t>-</w:t>
      </w:r>
      <w:r>
        <w:rPr>
          <w:szCs w:val="24"/>
        </w:rPr>
        <w:tab/>
      </w:r>
      <w:proofErr w:type="gramStart"/>
      <w:r>
        <w:rPr>
          <w:szCs w:val="24"/>
        </w:rPr>
        <w:t>suggesting</w:t>
      </w:r>
      <w:proofErr w:type="gramEnd"/>
      <w:r>
        <w:rPr>
          <w:szCs w:val="24"/>
        </w:rPr>
        <w:t xml:space="preserve"> the 1000-1060 GHz, </w:t>
      </w:r>
      <w:r w:rsidRPr="000A267A">
        <w:t>1 250-1 320 GHz</w:t>
      </w:r>
      <w:r>
        <w:t xml:space="preserve">, </w:t>
      </w:r>
      <w:r w:rsidRPr="000A267A">
        <w:t>1 325-1 385 GHz</w:t>
      </w:r>
      <w:r>
        <w:t xml:space="preserve">, </w:t>
      </w:r>
      <w:r w:rsidRPr="000A267A">
        <w:t>1 445-1 540 GHz</w:t>
      </w:r>
      <w:r>
        <w:t xml:space="preserve">, </w:t>
      </w:r>
      <w:r w:rsidRPr="000A267A">
        <w:t>1 545-1 570 GHz</w:t>
      </w:r>
      <w:r>
        <w:t xml:space="preserve"> and </w:t>
      </w:r>
      <w:r w:rsidRPr="000A267A">
        <w:t>1 975-2 000 GHz</w:t>
      </w:r>
      <w:r>
        <w:t xml:space="preserve"> as minimum bands to be identified for ground based radio astronomy</w:t>
      </w:r>
      <w:r w:rsidR="00862CBD">
        <w:t>.</w:t>
      </w:r>
    </w:p>
    <w:p w:rsidR="00870479" w:rsidRDefault="00870479" w:rsidP="00C075C0">
      <w:pPr>
        <w:tabs>
          <w:tab w:val="clear" w:pos="794"/>
        </w:tabs>
        <w:ind w:left="851" w:hanging="851"/>
        <w:jc w:val="both"/>
      </w:pPr>
      <w:r>
        <w:t>-</w:t>
      </w:r>
      <w:r>
        <w:tab/>
        <w:t>d</w:t>
      </w:r>
      <w:r w:rsidRPr="000A267A">
        <w:t>ue to excessive atmospheric attenuation even at high and dry ground-based astronomical observing sites, the use of bands above 2 000 GHz for radio astronomy is limited to balloon- and space-based applications.</w:t>
      </w:r>
    </w:p>
    <w:p w:rsidR="00DA7EA8" w:rsidRDefault="00DA7EA8" w:rsidP="00DA7EA8">
      <w:pPr>
        <w:numPr>
          <w:ilvl w:val="0"/>
          <w:numId w:val="14"/>
        </w:numPr>
        <w:jc w:val="both"/>
      </w:pPr>
      <w:proofErr w:type="spellStart"/>
      <w:r>
        <w:t>Aeronomy</w:t>
      </w:r>
      <w:proofErr w:type="spellEnd"/>
    </w:p>
    <w:p w:rsidR="00AB4C5B" w:rsidRDefault="00870479" w:rsidP="00C075C0">
      <w:pPr>
        <w:jc w:val="both"/>
      </w:pPr>
      <w:r>
        <w:t xml:space="preserve">Finally, the case of </w:t>
      </w:r>
      <w:proofErr w:type="spellStart"/>
      <w:r>
        <w:t>aeronomy</w:t>
      </w:r>
      <w:proofErr w:type="spellEnd"/>
      <w:r>
        <w:t xml:space="preserve"> applications w</w:t>
      </w:r>
      <w:r w:rsidR="006A7D83">
        <w:t xml:space="preserve">as </w:t>
      </w:r>
      <w:r>
        <w:t xml:space="preserve">specifically </w:t>
      </w:r>
      <w:r w:rsidR="00AB4C5B">
        <w:t>considered</w:t>
      </w:r>
      <w:r>
        <w:t>. Indeed, it does not obviously fall within a radio service, although the definition of EESS (1.51) may encompasses such applications</w:t>
      </w:r>
      <w:r w:rsidR="00DA7EA8">
        <w:t xml:space="preserve">; it </w:t>
      </w:r>
      <w:r>
        <w:t xml:space="preserve">differs from </w:t>
      </w:r>
      <w:proofErr w:type="spellStart"/>
      <w:r>
        <w:t>Radioastronomy</w:t>
      </w:r>
      <w:proofErr w:type="spellEnd"/>
      <w:r>
        <w:t xml:space="preserve"> in that it focuses on terrestrial atmosphere studies from the ground and make use of different types of instruments. </w:t>
      </w:r>
      <w:r w:rsidR="006A7D83">
        <w:t xml:space="preserve">To this respect, </w:t>
      </w:r>
      <w:r w:rsidR="00AB4C5B">
        <w:t xml:space="preserve">SG7 adopted </w:t>
      </w:r>
      <w:r>
        <w:t xml:space="preserve">Question </w:t>
      </w:r>
      <w:r w:rsidR="006A7D83">
        <w:t>251</w:t>
      </w:r>
      <w:r w:rsidR="006A7D83" w:rsidRPr="007F645E">
        <w:t>/7</w:t>
      </w:r>
      <w:r w:rsidR="006A7D83">
        <w:t xml:space="preserve"> </w:t>
      </w:r>
      <w:r>
        <w:t xml:space="preserve">on </w:t>
      </w:r>
      <w:r w:rsidR="006A7D83">
        <w:t>“</w:t>
      </w:r>
      <w:r>
        <w:t xml:space="preserve">ground-based </w:t>
      </w:r>
      <w:r w:rsidR="006A7D83">
        <w:t xml:space="preserve">passive </w:t>
      </w:r>
      <w:r>
        <w:t>sensors</w:t>
      </w:r>
      <w:r w:rsidR="006A7D83">
        <w:t>”</w:t>
      </w:r>
      <w:r>
        <w:t>.</w:t>
      </w:r>
      <w:r w:rsidR="00AB4C5B">
        <w:t xml:space="preserve"> However, at this stage, </w:t>
      </w:r>
      <w:r w:rsidR="006A7D83">
        <w:t xml:space="preserve">it was not considered relevant to address </w:t>
      </w:r>
      <w:r w:rsidR="00097882">
        <w:t>g</w:t>
      </w:r>
      <w:r w:rsidR="00AB4C5B">
        <w:t xml:space="preserve">round-based sensors above 275 GHz </w:t>
      </w:r>
      <w:r w:rsidR="006A7D83">
        <w:t>under agenda item 1.6.</w:t>
      </w:r>
    </w:p>
    <w:p w:rsidR="00870479" w:rsidRDefault="00870479" w:rsidP="00C075C0">
      <w:pPr>
        <w:jc w:val="both"/>
      </w:pPr>
    </w:p>
    <w:p w:rsidR="00870479" w:rsidRDefault="00870479" w:rsidP="00C075C0">
      <w:pPr>
        <w:numPr>
          <w:ilvl w:val="0"/>
          <w:numId w:val="6"/>
        </w:numPr>
        <w:rPr>
          <w:b/>
        </w:rPr>
      </w:pPr>
      <w:r>
        <w:rPr>
          <w:b/>
        </w:rPr>
        <w:t>Optical links above 3000 GHz</w:t>
      </w:r>
    </w:p>
    <w:p w:rsidR="00870479" w:rsidRDefault="00870479" w:rsidP="00C075C0">
      <w:pPr>
        <w:jc w:val="both"/>
      </w:pPr>
      <w:r w:rsidRPr="007B7D71">
        <w:t xml:space="preserve">No specific elements </w:t>
      </w:r>
      <w:r>
        <w:t>toward requirement of any allocations to free-space optical links have been currently put forward.</w:t>
      </w:r>
    </w:p>
    <w:p w:rsidR="00870479" w:rsidRDefault="00870479" w:rsidP="00C075C0">
      <w:pPr>
        <w:jc w:val="both"/>
      </w:pPr>
      <w:r>
        <w:t xml:space="preserve">The only elements come from the EESS, </w:t>
      </w:r>
      <w:proofErr w:type="spellStart"/>
      <w:r>
        <w:t>Radioastronomy</w:t>
      </w:r>
      <w:proofErr w:type="spellEnd"/>
      <w:r>
        <w:t xml:space="preserve"> and Space Research communities insisting on their current use of related bands (either for transmissions or observations) and that such use will have to be safeguarded and not constrained should any regulation </w:t>
      </w:r>
      <w:r w:rsidRPr="00325E75">
        <w:t>to various services in the Radio Regulations above 3 000</w:t>
      </w:r>
      <w:r>
        <w:t> GHz</w:t>
      </w:r>
      <w:r w:rsidRPr="00325E75">
        <w:t xml:space="preserve"> </w:t>
      </w:r>
      <w:r>
        <w:t xml:space="preserve">be </w:t>
      </w:r>
      <w:r w:rsidRPr="00325E75">
        <w:t>considered</w:t>
      </w:r>
      <w:r>
        <w:t xml:space="preserve">. </w:t>
      </w:r>
      <w:r>
        <w:rPr>
          <w:iCs/>
        </w:rPr>
        <w:t xml:space="preserve">CEPT considers that for space </w:t>
      </w:r>
      <w:r w:rsidRPr="00AB5D1B">
        <w:rPr>
          <w:iCs/>
        </w:rPr>
        <w:t>applications, neither regulations nor procedures are necessary for free-space optical links</w:t>
      </w:r>
      <w:r w:rsidR="0030657F" w:rsidRPr="00AB5D1B">
        <w:rPr>
          <w:iCs/>
        </w:rPr>
        <w:t>.</w:t>
      </w:r>
      <w:r>
        <w:t xml:space="preserve"> Corresponding Liaison Statement have been sent from WP7B and </w:t>
      </w:r>
      <w:smartTag w:uri="urn:schemas-microsoft-com:office:smarttags" w:element="metricconverter">
        <w:smartTagPr>
          <w:attr w:name="ProductID" w:val="7C"/>
        </w:smartTagPr>
        <w:r>
          <w:t>7C</w:t>
        </w:r>
      </w:smartTag>
      <w:r>
        <w:t xml:space="preserve"> to WP 1A in charge of this issue.</w:t>
      </w:r>
    </w:p>
    <w:p w:rsidR="00862CBD" w:rsidRDefault="0030657F" w:rsidP="00C075C0">
      <w:pPr>
        <w:rPr>
          <w:b/>
        </w:rPr>
      </w:pPr>
      <w:r w:rsidRPr="00AB5D1B">
        <w:t xml:space="preserve">Prior finalisation of the CPM Text, </w:t>
      </w:r>
      <w:r w:rsidR="00870479" w:rsidRPr="00AB5D1B">
        <w:t xml:space="preserve">WP1A </w:t>
      </w:r>
      <w:r w:rsidR="00870479" w:rsidRPr="00AB5D1B">
        <w:rPr>
          <w:bCs/>
        </w:rPr>
        <w:t>only list</w:t>
      </w:r>
      <w:r w:rsidRPr="00AB5D1B">
        <w:rPr>
          <w:bCs/>
        </w:rPr>
        <w:t>ed</w:t>
      </w:r>
      <w:r w:rsidR="00870479" w:rsidRPr="00AB5D1B">
        <w:rPr>
          <w:bCs/>
        </w:rPr>
        <w:t xml:space="preserve"> </w:t>
      </w:r>
      <w:r w:rsidR="00870479" w:rsidRPr="00AB5D1B">
        <w:t xml:space="preserve">relevant ITU-R Recommendations, </w:t>
      </w:r>
      <w:r w:rsidR="00AB4C5B" w:rsidRPr="00AB5D1B">
        <w:t xml:space="preserve">without providing any </w:t>
      </w:r>
      <w:r w:rsidRPr="00AB5D1B">
        <w:t xml:space="preserve">additional </w:t>
      </w:r>
      <w:r w:rsidR="00AB4C5B" w:rsidRPr="00AB5D1B">
        <w:t xml:space="preserve">technical studies </w:t>
      </w:r>
      <w:r w:rsidRPr="00AB5D1B">
        <w:t xml:space="preserve">supporting any requirements for </w:t>
      </w:r>
      <w:r w:rsidRPr="00AB5D1B">
        <w:rPr>
          <w:iCs/>
        </w:rPr>
        <w:t>regulations nor procedures for free-space optical links</w:t>
      </w:r>
      <w:r w:rsidR="00AB4C5B" w:rsidRPr="00AB5D1B">
        <w:t>.</w:t>
      </w:r>
      <w:r w:rsidR="00097882">
        <w:t xml:space="preserve"> As a consequence, it is likely that adoption of a proposal to continue studies will not lead to identifying any need for further regulations applicable to spectrum use above 3 THz.</w:t>
      </w:r>
    </w:p>
    <w:p w:rsidR="00870479" w:rsidRDefault="00870479" w:rsidP="00C075C0">
      <w:pPr>
        <w:rPr>
          <w:b/>
        </w:rPr>
      </w:pPr>
      <w:r w:rsidRPr="006F387D">
        <w:rPr>
          <w:b/>
        </w:rPr>
        <w:t>Analysis of the results of studies</w:t>
      </w:r>
    </w:p>
    <w:p w:rsidR="00AB4C5B" w:rsidRDefault="00870479" w:rsidP="00C075C0">
      <w:pPr>
        <w:jc w:val="both"/>
        <w:rPr>
          <w:rStyle w:val="href"/>
        </w:rPr>
      </w:pPr>
      <w:r w:rsidRPr="009B34BD">
        <w:t xml:space="preserve">On Resolution 950, </w:t>
      </w:r>
      <w:r w:rsidR="00626A3C" w:rsidRPr="009B34BD">
        <w:t xml:space="preserve">June 2010 </w:t>
      </w:r>
      <w:r w:rsidRPr="009B34BD">
        <w:t>WP7C and WP7D f</w:t>
      </w:r>
      <w:r w:rsidR="00626A3C" w:rsidRPr="009B34BD">
        <w:t xml:space="preserve">inalised </w:t>
      </w:r>
      <w:r w:rsidRPr="009B34BD">
        <w:t>the draft CPM Text on this agenda item summaris</w:t>
      </w:r>
      <w:r w:rsidR="00626A3C" w:rsidRPr="009B34BD">
        <w:t>ing</w:t>
      </w:r>
      <w:r w:rsidRPr="009B34BD">
        <w:t xml:space="preserve"> the information as given in </w:t>
      </w:r>
      <w:r w:rsidR="00EA0F2E" w:rsidRPr="00343823">
        <w:t>Report</w:t>
      </w:r>
      <w:r w:rsidR="00EA0F2E">
        <w:t xml:space="preserve"> </w:t>
      </w:r>
      <w:smartTag w:uri="urn:schemas-microsoft-com:office:smarttags" w:element="PersonName">
        <w:r w:rsidR="003C6D4E">
          <w:t>ITU-R</w:t>
        </w:r>
      </w:smartTag>
      <w:r w:rsidR="003C6D4E">
        <w:t xml:space="preserve"> RS.2194</w:t>
      </w:r>
      <w:r w:rsidRPr="009B34BD">
        <w:t xml:space="preserve"> and the Draft Recommendation </w:t>
      </w:r>
      <w:smartTag w:uri="urn:schemas-microsoft-com:office:smarttags" w:element="PersonName">
        <w:r w:rsidRPr="009B34BD">
          <w:rPr>
            <w:rStyle w:val="href"/>
          </w:rPr>
          <w:t>ITU-R</w:t>
        </w:r>
      </w:smartTag>
      <w:r w:rsidRPr="009B34BD">
        <w:rPr>
          <w:rStyle w:val="href"/>
        </w:rPr>
        <w:t> RA.</w:t>
      </w:r>
      <w:r w:rsidR="003C6D4E">
        <w:rPr>
          <w:rStyle w:val="href"/>
        </w:rPr>
        <w:t>1860</w:t>
      </w:r>
      <w:r w:rsidRPr="009B34BD">
        <w:rPr>
          <w:rStyle w:val="href"/>
        </w:rPr>
        <w:t>.</w:t>
      </w:r>
      <w:r>
        <w:rPr>
          <w:rStyle w:val="href"/>
        </w:rPr>
        <w:t xml:space="preserve"> </w:t>
      </w:r>
      <w:r w:rsidR="00F7313A">
        <w:rPr>
          <w:rStyle w:val="href"/>
        </w:rPr>
        <w:t>This proposal was later on agreed by WP 1A.</w:t>
      </w:r>
    </w:p>
    <w:p w:rsidR="00F7313A" w:rsidRDefault="00870479" w:rsidP="00C075C0">
      <w:pPr>
        <w:jc w:val="both"/>
      </w:pPr>
      <w:r w:rsidRPr="000719D7">
        <w:rPr>
          <w:rStyle w:val="href"/>
        </w:rPr>
        <w:t>Th</w:t>
      </w:r>
      <w:r w:rsidR="00F7313A">
        <w:rPr>
          <w:rStyle w:val="href"/>
        </w:rPr>
        <w:t xml:space="preserve">e final version of the </w:t>
      </w:r>
      <w:r w:rsidRPr="000719D7">
        <w:rPr>
          <w:rStyle w:val="href"/>
        </w:rPr>
        <w:t>CPM Text</w:t>
      </w:r>
      <w:r w:rsidR="00626A3C" w:rsidRPr="000719D7">
        <w:rPr>
          <w:rStyle w:val="href"/>
        </w:rPr>
        <w:t xml:space="preserve">, </w:t>
      </w:r>
      <w:proofErr w:type="gramStart"/>
      <w:r w:rsidR="00F7313A">
        <w:rPr>
          <w:rStyle w:val="href"/>
        </w:rPr>
        <w:t>specifies</w:t>
      </w:r>
      <w:r w:rsidR="000719D7" w:rsidRPr="000719D7">
        <w:rPr>
          <w:rStyle w:val="href"/>
        </w:rPr>
        <w:t xml:space="preserve"> </w:t>
      </w:r>
      <w:r w:rsidR="00AF2BD2" w:rsidRPr="000719D7">
        <w:rPr>
          <w:rStyle w:val="href"/>
        </w:rPr>
        <w:t xml:space="preserve"> </w:t>
      </w:r>
      <w:r w:rsidR="00C63D23" w:rsidRPr="000719D7">
        <w:rPr>
          <w:rStyle w:val="href"/>
        </w:rPr>
        <w:t>a</w:t>
      </w:r>
      <w:proofErr w:type="gramEnd"/>
      <w:r w:rsidR="00C63D23" w:rsidRPr="000719D7">
        <w:rPr>
          <w:rStyle w:val="href"/>
        </w:rPr>
        <w:t xml:space="preserve"> </w:t>
      </w:r>
      <w:r w:rsidR="00AF2BD2" w:rsidRPr="000719D7">
        <w:rPr>
          <w:rStyle w:val="href"/>
        </w:rPr>
        <w:t>single</w:t>
      </w:r>
      <w:r w:rsidR="00FB6997" w:rsidRPr="000719D7">
        <w:rPr>
          <w:rStyle w:val="href"/>
        </w:rPr>
        <w:t xml:space="preserve"> Method</w:t>
      </w:r>
      <w:r w:rsidR="00AF2BD2" w:rsidRPr="000719D7">
        <w:rPr>
          <w:rStyle w:val="href"/>
        </w:rPr>
        <w:t xml:space="preserve"> proposing </w:t>
      </w:r>
      <w:r w:rsidR="00FB6997" w:rsidRPr="000719D7">
        <w:t>to provide, in the RR No. </w:t>
      </w:r>
      <w:r w:rsidR="00FB6997" w:rsidRPr="000719D7">
        <w:rPr>
          <w:b/>
          <w:bCs/>
        </w:rPr>
        <w:t>5.565</w:t>
      </w:r>
      <w:r w:rsidR="00FB6997" w:rsidRPr="000719D7">
        <w:t xml:space="preserve"> the overall list of frequencies</w:t>
      </w:r>
      <w:r w:rsidR="000F1AAE" w:rsidRPr="000719D7">
        <w:t xml:space="preserve"> and all relevant information</w:t>
      </w:r>
      <w:r w:rsidR="00F7313A">
        <w:t>.</w:t>
      </w:r>
      <w:r w:rsidR="000F1AAE" w:rsidRPr="000719D7">
        <w:t xml:space="preserve"> </w:t>
      </w:r>
    </w:p>
    <w:p w:rsidR="003C6D4E" w:rsidRDefault="00F7313A" w:rsidP="00C075C0">
      <w:pPr>
        <w:jc w:val="both"/>
      </w:pPr>
      <w:r>
        <w:t xml:space="preserve">On Resolution 955, </w:t>
      </w:r>
      <w:r w:rsidR="003C6D4E">
        <w:t xml:space="preserve">CPM11-2 </w:t>
      </w:r>
      <w:r>
        <w:t>proposes</w:t>
      </w:r>
      <w:r w:rsidR="003C6D4E">
        <w:t xml:space="preserve"> one single </w:t>
      </w:r>
      <w:proofErr w:type="gramStart"/>
      <w:r w:rsidR="003C6D4E">
        <w:t>Method ,</w:t>
      </w:r>
      <w:proofErr w:type="gramEnd"/>
      <w:r w:rsidR="003C6D4E">
        <w:t xml:space="preserve"> i.e. a “No Change”.</w:t>
      </w:r>
    </w:p>
    <w:p w:rsidR="00D41FF4" w:rsidRDefault="009C6EA7" w:rsidP="00C075C0">
      <w:pPr>
        <w:jc w:val="both"/>
      </w:pPr>
      <w:r>
        <w:lastRenderedPageBreak/>
        <w:t>It shou</w:t>
      </w:r>
      <w:r w:rsidR="006D2E84">
        <w:t>ld also be highlighted that</w:t>
      </w:r>
      <w:r>
        <w:t xml:space="preserve"> </w:t>
      </w:r>
      <w:r w:rsidR="00EC26D6">
        <w:t xml:space="preserve">the </w:t>
      </w:r>
      <w:r>
        <w:t xml:space="preserve">ITU Plenipotentiary </w:t>
      </w:r>
      <w:r w:rsidR="00961662">
        <w:t>C</w:t>
      </w:r>
      <w:r w:rsidR="00D41FF4">
        <w:t xml:space="preserve">onference </w:t>
      </w:r>
      <w:r>
        <w:t>2010</w:t>
      </w:r>
      <w:r w:rsidR="006D2E84">
        <w:t xml:space="preserve"> </w:t>
      </w:r>
      <w:r w:rsidR="00F7313A">
        <w:t xml:space="preserve">decided to keep </w:t>
      </w:r>
      <w:r w:rsidR="006D2E84">
        <w:t>CV</w:t>
      </w:r>
      <w:r w:rsidR="00F7313A">
        <w:t xml:space="preserve"> </w:t>
      </w:r>
      <w:r w:rsidR="006D2E84">
        <w:t>1005 unchanged</w:t>
      </w:r>
      <w:r w:rsidR="00D41FF4">
        <w:t>.</w:t>
      </w:r>
    </w:p>
    <w:p w:rsidR="00870479" w:rsidRPr="00D37A65" w:rsidRDefault="009C6EA7" w:rsidP="00C075C0">
      <w:pPr>
        <w:jc w:val="both"/>
      </w:pPr>
      <w:r>
        <w:t xml:space="preserve"> </w:t>
      </w:r>
    </w:p>
    <w:p w:rsidR="00870479" w:rsidRPr="00F644E2" w:rsidRDefault="00870479" w:rsidP="00C075C0">
      <w:pPr>
        <w:rPr>
          <w:b/>
        </w:rPr>
      </w:pPr>
      <w:r w:rsidRPr="00F644E2">
        <w:rPr>
          <w:b/>
        </w:rPr>
        <w:t>List of relevant documents</w:t>
      </w:r>
    </w:p>
    <w:p w:rsidR="00EB2815" w:rsidRDefault="00EB2815" w:rsidP="00C075C0">
      <w:r w:rsidRPr="00302296">
        <w:t>Report ITU-R RS.</w:t>
      </w:r>
      <w:r w:rsidR="00B66551">
        <w:t>2194</w:t>
      </w:r>
      <w:r w:rsidRPr="00302296">
        <w:t xml:space="preserve"> - Passive bands of interest to EESS/SRS from 275 to 3 000 GHz</w:t>
      </w:r>
    </w:p>
    <w:p w:rsidR="008F519C" w:rsidRPr="00302296" w:rsidRDefault="008F519C" w:rsidP="00C075C0">
      <w:pPr>
        <w:tabs>
          <w:tab w:val="clear" w:pos="794"/>
        </w:tabs>
        <w:spacing w:before="80"/>
      </w:pPr>
      <w:r w:rsidRPr="00302296">
        <w:rPr>
          <w:szCs w:val="24"/>
        </w:rPr>
        <w:t xml:space="preserve">Annex </w:t>
      </w:r>
      <w:r w:rsidR="009E7D37">
        <w:rPr>
          <w:szCs w:val="24"/>
        </w:rPr>
        <w:t>4</w:t>
      </w:r>
      <w:r w:rsidRPr="00302296">
        <w:rPr>
          <w:szCs w:val="24"/>
        </w:rPr>
        <w:t xml:space="preserve"> to 7C/</w:t>
      </w:r>
      <w:r w:rsidR="009E7D37">
        <w:rPr>
          <w:szCs w:val="24"/>
        </w:rPr>
        <w:t>214</w:t>
      </w:r>
      <w:r w:rsidRPr="00302296">
        <w:rPr>
          <w:szCs w:val="24"/>
        </w:rPr>
        <w:t xml:space="preserve">: PDR Rec. ITU-R </w:t>
      </w:r>
      <w:r w:rsidRPr="00302296">
        <w:rPr>
          <w:szCs w:val="24"/>
          <w:lang w:eastAsia="ja-JP"/>
        </w:rPr>
        <w:t>RS</w:t>
      </w:r>
      <w:r w:rsidRPr="00302296">
        <w:rPr>
          <w:szCs w:val="24"/>
        </w:rPr>
        <w:t>.515-5 “</w:t>
      </w:r>
      <w:r w:rsidRPr="00302296">
        <w:rPr>
          <w:lang w:val="en-US"/>
        </w:rPr>
        <w:t>Frequency bands and bandwidths used for satellite passive sensing</w:t>
      </w:r>
      <w:r w:rsidRPr="00302296">
        <w:t>”.</w:t>
      </w:r>
    </w:p>
    <w:p w:rsidR="008F519C" w:rsidRPr="00302296" w:rsidRDefault="008F519C" w:rsidP="00C075C0">
      <w:pPr>
        <w:tabs>
          <w:tab w:val="clear" w:pos="794"/>
        </w:tabs>
        <w:spacing w:before="80"/>
        <w:rPr>
          <w:lang w:val="en-US"/>
        </w:rPr>
      </w:pPr>
      <w:r w:rsidRPr="00302296">
        <w:rPr>
          <w:szCs w:val="24"/>
        </w:rPr>
        <w:t xml:space="preserve">Annex </w:t>
      </w:r>
      <w:r w:rsidR="009E7D37">
        <w:rPr>
          <w:szCs w:val="24"/>
        </w:rPr>
        <w:t>5</w:t>
      </w:r>
      <w:r w:rsidRPr="00302296">
        <w:rPr>
          <w:szCs w:val="24"/>
        </w:rPr>
        <w:t xml:space="preserve"> to 7C/</w:t>
      </w:r>
      <w:r w:rsidR="009E7D37">
        <w:rPr>
          <w:szCs w:val="24"/>
        </w:rPr>
        <w:t>214</w:t>
      </w:r>
      <w:r w:rsidRPr="00302296">
        <w:rPr>
          <w:szCs w:val="24"/>
        </w:rPr>
        <w:t>: PD</w:t>
      </w:r>
      <w:r w:rsidR="009E7D37">
        <w:rPr>
          <w:szCs w:val="24"/>
        </w:rPr>
        <w:t>N</w:t>
      </w:r>
      <w:r w:rsidRPr="00302296">
        <w:rPr>
          <w:szCs w:val="24"/>
        </w:rPr>
        <w:t xml:space="preserve"> Rec. ITU-R </w:t>
      </w:r>
      <w:r w:rsidRPr="00302296">
        <w:rPr>
          <w:szCs w:val="24"/>
          <w:lang w:eastAsia="ja-JP"/>
        </w:rPr>
        <w:t>RS</w:t>
      </w:r>
      <w:r w:rsidRPr="00302296">
        <w:rPr>
          <w:szCs w:val="24"/>
        </w:rPr>
        <w:t>.</w:t>
      </w:r>
      <w:r w:rsidR="009E7D37" w:rsidRPr="009E7D37">
        <w:rPr>
          <w:szCs w:val="24"/>
        </w:rPr>
        <w:t xml:space="preserve"> </w:t>
      </w:r>
      <w:proofErr w:type="gramStart"/>
      <w:r w:rsidR="009E7D37">
        <w:rPr>
          <w:szCs w:val="24"/>
        </w:rPr>
        <w:t xml:space="preserve">[PERF_INTERF] </w:t>
      </w:r>
      <w:r w:rsidRPr="00302296">
        <w:rPr>
          <w:szCs w:val="24"/>
        </w:rPr>
        <w:t>1028-3 “</w:t>
      </w:r>
      <w:r w:rsidRPr="00302296">
        <w:rPr>
          <w:lang w:val="en-US"/>
        </w:rPr>
        <w:t xml:space="preserve">Performance </w:t>
      </w:r>
      <w:r w:rsidR="009E7D37">
        <w:rPr>
          <w:lang w:val="en-US"/>
        </w:rPr>
        <w:t xml:space="preserve">and interference </w:t>
      </w:r>
      <w:r w:rsidRPr="00302296">
        <w:rPr>
          <w:lang w:val="en-US"/>
        </w:rPr>
        <w:t>criteria for satellite passive remote sensing”.</w:t>
      </w:r>
      <w:proofErr w:type="gramEnd"/>
    </w:p>
    <w:p w:rsidR="00870479" w:rsidRDefault="005E4FEC" w:rsidP="00C075C0">
      <w:r>
        <w:t xml:space="preserve">Recommendation </w:t>
      </w:r>
      <w:r w:rsidRPr="001C4059">
        <w:rPr>
          <w:rStyle w:val="href"/>
        </w:rPr>
        <w:t>ITU-R RA.</w:t>
      </w:r>
      <w:r w:rsidR="00A349D9">
        <w:rPr>
          <w:rStyle w:val="href"/>
        </w:rPr>
        <w:t xml:space="preserve">1860 </w:t>
      </w:r>
      <w:r w:rsidR="00870479">
        <w:t xml:space="preserve">- </w:t>
      </w:r>
      <w:r w:rsidR="00870479" w:rsidRPr="000A267A">
        <w:t>Preferred frequency bands for radio astronomical measurements in the range 1-3 THz</w:t>
      </w:r>
    </w:p>
    <w:p w:rsidR="00F7313A" w:rsidRPr="00A928F2" w:rsidRDefault="00F7313A" w:rsidP="00F7313A">
      <w:r>
        <w:t xml:space="preserve">CPM Report (Chapter 4, pages 3 to 8) </w:t>
      </w:r>
      <w:r w:rsidRPr="00A928F2">
        <w:t xml:space="preserve">(CPM Text on agenda </w:t>
      </w:r>
      <w:r w:rsidR="00EA0F2E">
        <w:t>item</w:t>
      </w:r>
      <w:r w:rsidRPr="00A928F2">
        <w:t>1.6 (Res 950))</w:t>
      </w:r>
    </w:p>
    <w:p w:rsidR="00A928F2" w:rsidRPr="00A928F2" w:rsidRDefault="00A928F2" w:rsidP="00A928F2">
      <w:r>
        <w:t>CPM</w:t>
      </w:r>
      <w:r w:rsidR="00263AB1">
        <w:t xml:space="preserve"> Report </w:t>
      </w:r>
      <w:r>
        <w:t>(</w:t>
      </w:r>
      <w:r w:rsidR="00263AB1">
        <w:t xml:space="preserve">Chapter 4 </w:t>
      </w:r>
      <w:r>
        <w:t xml:space="preserve">pages </w:t>
      </w:r>
      <w:r w:rsidR="00263AB1">
        <w:t>9 to 12</w:t>
      </w:r>
      <w:r>
        <w:t xml:space="preserve">) </w:t>
      </w:r>
      <w:r w:rsidRPr="00A928F2">
        <w:t>(CPM Text on agenda</w:t>
      </w:r>
      <w:r w:rsidR="00EA0F2E">
        <w:t xml:space="preserve"> item</w:t>
      </w:r>
      <w:r w:rsidRPr="00A928F2">
        <w:t xml:space="preserve"> 1.6 (Res 955))</w:t>
      </w:r>
    </w:p>
    <w:p w:rsidR="00870479" w:rsidRPr="001F7C63" w:rsidRDefault="00870479" w:rsidP="00C075C0"/>
    <w:p w:rsidR="00870479" w:rsidRPr="00F644E2" w:rsidRDefault="00870479" w:rsidP="00C075C0">
      <w:pPr>
        <w:pStyle w:val="Titre2"/>
        <w:spacing w:before="120"/>
        <w:rPr>
          <w:snapToGrid w:val="0"/>
        </w:rPr>
      </w:pPr>
      <w:r w:rsidRPr="00F644E2">
        <w:rPr>
          <w:snapToGrid w:val="0"/>
        </w:rPr>
        <w:t>Actions to be taken</w:t>
      </w:r>
    </w:p>
    <w:p w:rsidR="00EB2815" w:rsidRPr="00B758AE" w:rsidRDefault="00263AB1" w:rsidP="00C075C0">
      <w:pPr>
        <w:numPr>
          <w:ilvl w:val="0"/>
          <w:numId w:val="4"/>
        </w:numPr>
        <w:tabs>
          <w:tab w:val="clear" w:pos="794"/>
          <w:tab w:val="clear" w:pos="1191"/>
          <w:tab w:val="clear" w:pos="1588"/>
          <w:tab w:val="clear" w:pos="1985"/>
        </w:tabs>
        <w:overflowPunct/>
        <w:autoSpaceDE/>
        <w:autoSpaceDN/>
        <w:adjustRightInd/>
        <w:textAlignment w:val="auto"/>
      </w:pPr>
      <w:r>
        <w:t>No action required</w:t>
      </w:r>
      <w:r w:rsidR="00CE5E39" w:rsidRPr="00B758AE">
        <w:t xml:space="preserve"> </w:t>
      </w:r>
    </w:p>
    <w:p w:rsidR="00870479" w:rsidRDefault="00870479" w:rsidP="00C075C0">
      <w:pPr>
        <w:pStyle w:val="Titre2"/>
        <w:spacing w:before="120"/>
        <w:rPr>
          <w:snapToGrid w:val="0"/>
        </w:rPr>
      </w:pPr>
    </w:p>
    <w:p w:rsidR="00870479" w:rsidRDefault="00870479" w:rsidP="00C075C0">
      <w:pPr>
        <w:pStyle w:val="Titre2"/>
        <w:spacing w:before="120"/>
        <w:rPr>
          <w:snapToGrid w:val="0"/>
        </w:rPr>
      </w:pPr>
      <w:r w:rsidRPr="00F644E2">
        <w:rPr>
          <w:snapToGrid w:val="0"/>
        </w:rPr>
        <w:t>Relevant information from outside CEPT</w:t>
      </w:r>
    </w:p>
    <w:p w:rsidR="00870479" w:rsidRDefault="00870479" w:rsidP="00C075C0">
      <w:pPr>
        <w:rPr>
          <w:b/>
          <w:i/>
        </w:rPr>
      </w:pPr>
      <w:r>
        <w:rPr>
          <w:b/>
          <w:i/>
        </w:rPr>
        <w:t>European Union</w:t>
      </w:r>
    </w:p>
    <w:p w:rsidR="008C3156" w:rsidRDefault="008C3156" w:rsidP="002B4DD6">
      <w:pPr>
        <w:pStyle w:val="Retraitcorpsdetexte"/>
        <w:tabs>
          <w:tab w:val="clear" w:pos="794"/>
          <w:tab w:val="clear" w:pos="1191"/>
          <w:tab w:val="clear" w:pos="1588"/>
          <w:tab w:val="clear" w:pos="1985"/>
        </w:tabs>
        <w:overflowPunct/>
        <w:autoSpaceDE/>
        <w:autoSpaceDN/>
        <w:adjustRightInd/>
        <w:spacing w:before="0" w:after="0"/>
        <w:ind w:left="0"/>
        <w:textAlignment w:val="auto"/>
      </w:pPr>
      <w:r>
        <w:t xml:space="preserve">Note from Presidency to </w:t>
      </w:r>
      <w:proofErr w:type="spellStart"/>
      <w:r>
        <w:t>Coreper</w:t>
      </w:r>
      <w:proofErr w:type="spellEnd"/>
      <w:r>
        <w:t xml:space="preserve">, </w:t>
      </w:r>
      <w:proofErr w:type="spellStart"/>
      <w:r>
        <w:t>dd</w:t>
      </w:r>
      <w:proofErr w:type="spellEnd"/>
      <w:r>
        <w:t xml:space="preserve"> 12 May 2011:</w:t>
      </w:r>
    </w:p>
    <w:p w:rsidR="0017754D" w:rsidRDefault="0017754D" w:rsidP="0017754D">
      <w:pPr>
        <w:pStyle w:val="ListNumberLevel3"/>
        <w:numPr>
          <w:ilvl w:val="0"/>
          <w:numId w:val="0"/>
        </w:numPr>
        <w:spacing w:before="0"/>
        <w:jc w:val="left"/>
      </w:pPr>
      <w:r>
        <w:t>T</w:t>
      </w:r>
      <w:r w:rsidR="008C3156">
        <w:t>he following objectives to be achieved at WRC-</w:t>
      </w:r>
      <w:smartTag w:uri="urn:schemas-microsoft-com:office:smarttags" w:element="metricconverter">
        <w:smartTagPr>
          <w:attr w:name="ProductID" w:val="12 in"/>
        </w:smartTagPr>
        <w:r w:rsidR="008C3156">
          <w:t>12 in</w:t>
        </w:r>
      </w:smartTag>
      <w:r w:rsidR="008C3156">
        <w:t xml:space="preserve"> view of the successful implementation of relevant Union policies, taking into account the Commission's Communication:</w:t>
      </w:r>
      <w:r>
        <w:t xml:space="preserve"> </w:t>
      </w:r>
    </w:p>
    <w:p w:rsidR="0017754D" w:rsidRDefault="008C3156" w:rsidP="0017754D">
      <w:pPr>
        <w:pStyle w:val="ListNumberLevel3"/>
        <w:numPr>
          <w:ilvl w:val="1"/>
          <w:numId w:val="2"/>
        </w:numPr>
        <w:tabs>
          <w:tab w:val="clear" w:pos="1875"/>
          <w:tab w:val="num" w:pos="851"/>
        </w:tabs>
        <w:spacing w:before="0"/>
        <w:ind w:left="851" w:hanging="851"/>
        <w:jc w:val="left"/>
      </w:pPr>
      <w:r w:rsidRPr="008C3156">
        <w:t xml:space="preserve">to promote new allocations and protection for scientific services, in particular services helping to combat climate change and ensuring the security of citizens; </w:t>
      </w:r>
    </w:p>
    <w:p w:rsidR="008C3156" w:rsidRPr="008C3156" w:rsidRDefault="008C3156" w:rsidP="0017754D">
      <w:pPr>
        <w:pStyle w:val="ListNumberLevel3"/>
        <w:numPr>
          <w:ilvl w:val="1"/>
          <w:numId w:val="2"/>
        </w:numPr>
        <w:tabs>
          <w:tab w:val="clear" w:pos="1875"/>
          <w:tab w:val="num" w:pos="851"/>
        </w:tabs>
        <w:spacing w:before="0"/>
        <w:ind w:left="851" w:hanging="851"/>
        <w:jc w:val="left"/>
      </w:pPr>
      <w:r w:rsidRPr="008C3156">
        <w:t>to support studies on the role of Earth Observation for monitoring and predicting climate change, for disaster prediction and for understanding all aspects of climate change (WRC-12 Agenda Item 1.6/1.8/1.24/8.1.1);</w:t>
      </w:r>
    </w:p>
    <w:p w:rsidR="00B61D9C" w:rsidRDefault="00B61D9C" w:rsidP="00C075C0"/>
    <w:p w:rsidR="00870479" w:rsidRDefault="00870479" w:rsidP="00C075C0">
      <w:pPr>
        <w:rPr>
          <w:b/>
          <w:i/>
        </w:rPr>
      </w:pPr>
      <w:r>
        <w:rPr>
          <w:b/>
          <w:i/>
        </w:rPr>
        <w:t>Regional telecommunication organisations</w:t>
      </w:r>
    </w:p>
    <w:p w:rsidR="00870479" w:rsidRDefault="00870479" w:rsidP="00C075C0">
      <w:pPr>
        <w:rPr>
          <w:b/>
        </w:rPr>
      </w:pPr>
      <w:r>
        <w:rPr>
          <w:b/>
        </w:rPr>
        <w:t>APT (</w:t>
      </w:r>
      <w:r w:rsidR="003B6AE8">
        <w:rPr>
          <w:b/>
        </w:rPr>
        <w:t>September 2011</w:t>
      </w:r>
      <w:r>
        <w:rPr>
          <w:b/>
        </w:rPr>
        <w:t>)</w:t>
      </w:r>
    </w:p>
    <w:p w:rsidR="00DB25B2" w:rsidRDefault="00DB25B2" w:rsidP="00C075C0">
      <w:pPr>
        <w:jc w:val="both"/>
        <w:rPr>
          <w:b/>
        </w:rPr>
      </w:pPr>
      <w:r>
        <w:rPr>
          <w:b/>
        </w:rPr>
        <w:t xml:space="preserve">Resolution </w:t>
      </w:r>
      <w:proofErr w:type="gramStart"/>
      <w:r>
        <w:rPr>
          <w:b/>
        </w:rPr>
        <w:t>950 :</w:t>
      </w:r>
      <w:proofErr w:type="gramEnd"/>
    </w:p>
    <w:p w:rsidR="003B6AE8" w:rsidRPr="007B2C1B" w:rsidRDefault="003B6AE8" w:rsidP="003B6AE8">
      <w:pPr>
        <w:tabs>
          <w:tab w:val="clear" w:pos="794"/>
          <w:tab w:val="clear" w:pos="1191"/>
          <w:tab w:val="clear" w:pos="1588"/>
          <w:tab w:val="clear" w:pos="1985"/>
        </w:tabs>
        <w:overflowPunct/>
        <w:autoSpaceDE/>
        <w:autoSpaceDN/>
        <w:adjustRightInd/>
        <w:spacing w:before="0"/>
        <w:jc w:val="both"/>
        <w:textAlignment w:val="auto"/>
        <w:rPr>
          <w:rFonts w:eastAsia="SimSun"/>
          <w:snapToGrid w:val="0"/>
          <w:szCs w:val="24"/>
          <w:lang w:val="en-US" w:eastAsia="zh-CN"/>
        </w:rPr>
      </w:pPr>
      <w:r w:rsidRPr="007B2C1B">
        <w:rPr>
          <w:rFonts w:eastAsia="SimSun" w:hint="eastAsia"/>
          <w:szCs w:val="24"/>
          <w:lang w:val="en-US" w:eastAsia="zh-CN"/>
        </w:rPr>
        <w:t>APT M</w:t>
      </w:r>
      <w:r w:rsidRPr="007B2C1B">
        <w:rPr>
          <w:rFonts w:eastAsia="SimSun"/>
          <w:szCs w:val="24"/>
          <w:lang w:val="en-US" w:eastAsia="zh-CN"/>
        </w:rPr>
        <w:t>embers</w:t>
      </w:r>
      <w:r w:rsidRPr="007B2C1B">
        <w:rPr>
          <w:rFonts w:eastAsia="SimSun" w:hint="eastAsia"/>
          <w:szCs w:val="24"/>
          <w:lang w:val="en-US" w:eastAsia="zh-CN"/>
        </w:rPr>
        <w:t xml:space="preserve"> s</w:t>
      </w:r>
      <w:r w:rsidRPr="007B2C1B">
        <w:rPr>
          <w:rFonts w:eastAsia="SimSun"/>
          <w:szCs w:val="24"/>
          <w:lang w:val="en-US" w:eastAsia="zh-CN"/>
        </w:rPr>
        <w:t>upport the single</w:t>
      </w:r>
      <w:r w:rsidRPr="007B2C1B">
        <w:rPr>
          <w:rFonts w:eastAsia="SimSun" w:hint="eastAsia"/>
          <w:szCs w:val="24"/>
          <w:lang w:val="en-US" w:eastAsia="zh-CN"/>
        </w:rPr>
        <w:t xml:space="preserve"> Method in the CPM Report to</w:t>
      </w:r>
      <w:r w:rsidRPr="007B2C1B">
        <w:rPr>
          <w:rFonts w:eastAsia="BatangChe"/>
          <w:snapToGrid w:val="0"/>
          <w:szCs w:val="24"/>
          <w:lang w:val="en-US"/>
        </w:rPr>
        <w:t xml:space="preserve"> review No. </w:t>
      </w:r>
      <w:r w:rsidRPr="007B2C1B">
        <w:rPr>
          <w:rFonts w:eastAsia="BatangChe"/>
          <w:b/>
          <w:snapToGrid w:val="0"/>
          <w:szCs w:val="24"/>
          <w:lang w:val="en-US"/>
        </w:rPr>
        <w:t>5.565</w:t>
      </w:r>
      <w:r w:rsidRPr="007B2C1B">
        <w:rPr>
          <w:rFonts w:eastAsia="SimSun" w:hint="eastAsia"/>
          <w:snapToGrid w:val="0"/>
          <w:szCs w:val="24"/>
          <w:lang w:val="en-US" w:eastAsia="zh-CN"/>
        </w:rPr>
        <w:t xml:space="preserve"> of </w:t>
      </w:r>
      <w:r w:rsidRPr="007B2C1B">
        <w:rPr>
          <w:rFonts w:eastAsia="BatangChe"/>
          <w:szCs w:val="24"/>
          <w:lang w:val="en-US"/>
        </w:rPr>
        <w:t>the Radio Regulations</w:t>
      </w:r>
      <w:r w:rsidRPr="007B2C1B">
        <w:rPr>
          <w:rFonts w:eastAsia="BatangChe"/>
          <w:snapToGrid w:val="0"/>
          <w:szCs w:val="24"/>
          <w:lang w:val="en-US"/>
        </w:rPr>
        <w:t xml:space="preserve"> </w:t>
      </w:r>
      <w:r w:rsidRPr="007B2C1B">
        <w:rPr>
          <w:rFonts w:eastAsia="SimSun" w:hint="eastAsia"/>
          <w:snapToGrid w:val="0"/>
          <w:szCs w:val="24"/>
          <w:lang w:val="en-US" w:eastAsia="zh-CN"/>
        </w:rPr>
        <w:t xml:space="preserve">and </w:t>
      </w:r>
      <w:r w:rsidRPr="007B2C1B">
        <w:rPr>
          <w:rFonts w:eastAsia="BatangChe"/>
          <w:snapToGrid w:val="0"/>
          <w:szCs w:val="24"/>
          <w:lang w:val="en-US"/>
        </w:rPr>
        <w:t>updat</w:t>
      </w:r>
      <w:r w:rsidRPr="007B2C1B">
        <w:rPr>
          <w:rFonts w:eastAsia="SimSun" w:hint="eastAsia"/>
          <w:snapToGrid w:val="0"/>
          <w:szCs w:val="24"/>
          <w:lang w:val="en-US" w:eastAsia="zh-CN"/>
        </w:rPr>
        <w:t>e the spectrum use</w:t>
      </w:r>
      <w:r w:rsidRPr="007B2C1B">
        <w:rPr>
          <w:rFonts w:eastAsia="BatangChe"/>
          <w:snapToGrid w:val="0"/>
          <w:szCs w:val="24"/>
          <w:lang w:val="en-US"/>
        </w:rPr>
        <w:t xml:space="preserve"> </w:t>
      </w:r>
      <w:r w:rsidRPr="007B2C1B">
        <w:rPr>
          <w:rFonts w:eastAsia="SimSun" w:hint="eastAsia"/>
          <w:snapToGrid w:val="0"/>
          <w:szCs w:val="24"/>
          <w:lang w:val="en-US" w:eastAsia="zh-CN"/>
        </w:rPr>
        <w:t xml:space="preserve">by </w:t>
      </w:r>
      <w:r w:rsidRPr="007B2C1B">
        <w:rPr>
          <w:rFonts w:eastAsia="BatangChe"/>
          <w:snapToGrid w:val="0"/>
          <w:szCs w:val="24"/>
          <w:lang w:val="en-US"/>
        </w:rPr>
        <w:t>passive services in the range 275</w:t>
      </w:r>
      <w:r w:rsidRPr="007B2C1B">
        <w:rPr>
          <w:rFonts w:eastAsia="SimSun" w:hint="eastAsia"/>
          <w:snapToGrid w:val="0"/>
          <w:szCs w:val="24"/>
          <w:lang w:val="en-US" w:eastAsia="zh-CN"/>
        </w:rPr>
        <w:t>-</w:t>
      </w:r>
      <w:r w:rsidRPr="007B2C1B">
        <w:rPr>
          <w:rFonts w:eastAsia="BatangChe"/>
          <w:snapToGrid w:val="0"/>
          <w:szCs w:val="24"/>
          <w:lang w:val="en-US"/>
        </w:rPr>
        <w:t>3 000 GHz</w:t>
      </w:r>
      <w:r w:rsidRPr="007B2C1B">
        <w:rPr>
          <w:rFonts w:eastAsia="SimSun" w:hint="eastAsia"/>
          <w:snapToGrid w:val="0"/>
          <w:szCs w:val="24"/>
          <w:lang w:val="en-US" w:eastAsia="zh-CN"/>
        </w:rPr>
        <w:t xml:space="preserve">, </w:t>
      </w:r>
      <w:r w:rsidRPr="007B2C1B">
        <w:rPr>
          <w:rFonts w:eastAsia="MS Mincho"/>
          <w:szCs w:val="24"/>
          <w:lang w:val="en-US" w:eastAsia="ja-JP"/>
        </w:rPr>
        <w:t>taking into account the results of ITU-R studies</w:t>
      </w:r>
      <w:r w:rsidRPr="007B2C1B">
        <w:rPr>
          <w:rFonts w:eastAsia="SimSun" w:hint="eastAsia"/>
          <w:szCs w:val="24"/>
          <w:lang w:val="en-US" w:eastAsia="zh-CN"/>
        </w:rPr>
        <w:t xml:space="preserve"> related to </w:t>
      </w:r>
      <w:r w:rsidRPr="007B2C1B">
        <w:rPr>
          <w:rFonts w:eastAsia="BatangChe"/>
          <w:szCs w:val="24"/>
          <w:lang w:val="en-US"/>
        </w:rPr>
        <w:t xml:space="preserve">Resolution </w:t>
      </w:r>
      <w:r w:rsidRPr="007B2C1B">
        <w:rPr>
          <w:rFonts w:eastAsia="BatangChe"/>
          <w:b/>
          <w:szCs w:val="24"/>
          <w:lang w:val="en-US"/>
        </w:rPr>
        <w:t>950</w:t>
      </w:r>
      <w:r w:rsidRPr="007B2C1B">
        <w:rPr>
          <w:rFonts w:eastAsia="BatangChe"/>
          <w:szCs w:val="24"/>
          <w:lang w:val="en-US"/>
        </w:rPr>
        <w:t xml:space="preserve"> (</w:t>
      </w:r>
      <w:r w:rsidRPr="007B2C1B">
        <w:rPr>
          <w:rFonts w:eastAsia="BatangChe" w:hint="eastAsia"/>
          <w:szCs w:val="24"/>
          <w:lang w:val="en-US" w:eastAsia="ko-KR"/>
        </w:rPr>
        <w:t>Rev.</w:t>
      </w:r>
      <w:r w:rsidRPr="007B2C1B">
        <w:rPr>
          <w:rFonts w:eastAsia="BatangChe"/>
          <w:szCs w:val="24"/>
          <w:lang w:val="en-US"/>
        </w:rPr>
        <w:t>WRC-07)</w:t>
      </w:r>
      <w:r w:rsidRPr="007B2C1B">
        <w:rPr>
          <w:rFonts w:eastAsia="MS Mincho"/>
          <w:szCs w:val="24"/>
          <w:lang w:val="en-US" w:eastAsia="ja-JP"/>
        </w:rPr>
        <w:t>.</w:t>
      </w:r>
      <w:r w:rsidRPr="007B2C1B">
        <w:rPr>
          <w:rFonts w:eastAsia="BatangChe"/>
          <w:snapToGrid w:val="0"/>
          <w:szCs w:val="24"/>
          <w:lang w:val="en-US"/>
        </w:rPr>
        <w:t xml:space="preserve"> </w:t>
      </w:r>
    </w:p>
    <w:p w:rsidR="003B6AE8" w:rsidRPr="007B2C1B" w:rsidRDefault="003B6AE8" w:rsidP="003B6AE8">
      <w:pPr>
        <w:tabs>
          <w:tab w:val="clear" w:pos="794"/>
          <w:tab w:val="clear" w:pos="1191"/>
          <w:tab w:val="clear" w:pos="1588"/>
          <w:tab w:val="clear" w:pos="1985"/>
        </w:tabs>
        <w:overflowPunct/>
        <w:autoSpaceDE/>
        <w:autoSpaceDN/>
        <w:adjustRightInd/>
        <w:spacing w:before="0"/>
        <w:jc w:val="both"/>
        <w:textAlignment w:val="auto"/>
        <w:rPr>
          <w:rFonts w:eastAsia="SimSun"/>
          <w:snapToGrid w:val="0"/>
          <w:szCs w:val="24"/>
          <w:lang w:val="en-US" w:eastAsia="zh-CN"/>
        </w:rPr>
      </w:pPr>
    </w:p>
    <w:p w:rsidR="003B6AE8" w:rsidRPr="007B2C1B" w:rsidRDefault="003B6AE8" w:rsidP="003B6AE8">
      <w:pPr>
        <w:tabs>
          <w:tab w:val="clear" w:pos="794"/>
          <w:tab w:val="clear" w:pos="1191"/>
          <w:tab w:val="clear" w:pos="1588"/>
          <w:tab w:val="clear" w:pos="1985"/>
        </w:tabs>
        <w:overflowPunct/>
        <w:autoSpaceDE/>
        <w:autoSpaceDN/>
        <w:adjustRightInd/>
        <w:spacing w:before="0"/>
        <w:jc w:val="both"/>
        <w:textAlignment w:val="auto"/>
        <w:rPr>
          <w:rFonts w:eastAsia="BatangChe"/>
          <w:szCs w:val="24"/>
          <w:lang w:val="en-US"/>
        </w:rPr>
      </w:pPr>
      <w:r w:rsidRPr="007B2C1B">
        <w:rPr>
          <w:rFonts w:eastAsia="SimSun" w:hint="eastAsia"/>
          <w:szCs w:val="24"/>
          <w:lang w:val="en-US" w:eastAsia="zh-CN"/>
        </w:rPr>
        <w:t xml:space="preserve">One </w:t>
      </w:r>
      <w:r w:rsidRPr="007B2C1B">
        <w:rPr>
          <w:rFonts w:eastAsia="BatangChe"/>
          <w:szCs w:val="24"/>
          <w:lang w:val="en-US"/>
        </w:rPr>
        <w:t>APT Member</w:t>
      </w:r>
      <w:r w:rsidRPr="007B2C1B">
        <w:rPr>
          <w:rFonts w:eastAsia="SimSun" w:hint="eastAsia"/>
          <w:szCs w:val="24"/>
          <w:lang w:val="en-US" w:eastAsia="zh-CN"/>
        </w:rPr>
        <w:t xml:space="preserve"> is</w:t>
      </w:r>
      <w:r w:rsidRPr="007B2C1B">
        <w:rPr>
          <w:rFonts w:eastAsia="BatangChe"/>
          <w:szCs w:val="24"/>
          <w:lang w:val="en-US"/>
        </w:rPr>
        <w:t xml:space="preserve"> of the view that the following principles, as observed in the current revision of No. </w:t>
      </w:r>
      <w:smartTag w:uri="urn:schemas-microsoft-com:office:smarttags" w:element="chmetcnv">
        <w:smartTagPr>
          <w:attr w:name="TCSC" w:val="0"/>
          <w:attr w:name="NumberType" w:val="1"/>
          <w:attr w:name="Negative" w:val="False"/>
          <w:attr w:name="HasSpace" w:val="True"/>
          <w:attr w:name="SourceValue" w:val="5.565"/>
          <w:attr w:name="UnitName" w:val="in"/>
        </w:smartTagPr>
        <w:r w:rsidRPr="007B2C1B">
          <w:rPr>
            <w:rFonts w:eastAsia="BatangChe"/>
            <w:b/>
            <w:bCs/>
            <w:szCs w:val="24"/>
            <w:lang w:val="en-US"/>
          </w:rPr>
          <w:t>5.565</w:t>
        </w:r>
        <w:r w:rsidRPr="007B2C1B">
          <w:rPr>
            <w:rFonts w:eastAsia="BatangChe"/>
            <w:szCs w:val="24"/>
            <w:lang w:val="en-US"/>
          </w:rPr>
          <w:t xml:space="preserve"> in</w:t>
        </w:r>
      </w:smartTag>
      <w:r w:rsidRPr="007B2C1B">
        <w:rPr>
          <w:rFonts w:eastAsia="BatangChe"/>
          <w:szCs w:val="24"/>
          <w:lang w:val="en-US"/>
        </w:rPr>
        <w:t xml:space="preserve"> the CPM Report, and balancing the use of Frequency Table by the passive and active services, should be observed in the possible revision of this footnote, </w:t>
      </w:r>
    </w:p>
    <w:p w:rsidR="003B6AE8" w:rsidRPr="007B2C1B" w:rsidRDefault="003B6AE8" w:rsidP="003B6AE8">
      <w:pPr>
        <w:numPr>
          <w:ilvl w:val="0"/>
          <w:numId w:val="18"/>
        </w:numPr>
        <w:tabs>
          <w:tab w:val="clear" w:pos="794"/>
          <w:tab w:val="clear" w:pos="1191"/>
          <w:tab w:val="clear" w:pos="1588"/>
          <w:tab w:val="clear" w:pos="1985"/>
        </w:tabs>
        <w:overflowPunct/>
        <w:autoSpaceDE/>
        <w:autoSpaceDN/>
        <w:adjustRightInd/>
        <w:spacing w:before="0"/>
        <w:jc w:val="both"/>
        <w:textAlignment w:val="auto"/>
        <w:rPr>
          <w:rFonts w:eastAsia="BatangChe"/>
          <w:szCs w:val="24"/>
          <w:lang w:val="en-US"/>
        </w:rPr>
      </w:pPr>
      <w:r w:rsidRPr="007B2C1B">
        <w:rPr>
          <w:rFonts w:eastAsia="BatangChe"/>
          <w:szCs w:val="24"/>
          <w:lang w:val="en-US"/>
        </w:rPr>
        <w:t xml:space="preserve">identification of possible use of certain bands for passive services in this footnote should not preclude future consideration of these bands for active services, and on the other hand, </w:t>
      </w:r>
    </w:p>
    <w:p w:rsidR="003B6AE8" w:rsidRDefault="003B6AE8" w:rsidP="003B6AE8">
      <w:pPr>
        <w:jc w:val="both"/>
        <w:rPr>
          <w:rFonts w:eastAsia="BatangChe"/>
          <w:szCs w:val="24"/>
          <w:lang w:val="en-US"/>
        </w:rPr>
      </w:pPr>
      <w:proofErr w:type="gramStart"/>
      <w:r w:rsidRPr="007B2C1B">
        <w:rPr>
          <w:rFonts w:eastAsia="BatangChe"/>
          <w:szCs w:val="24"/>
          <w:lang w:val="en-US"/>
        </w:rPr>
        <w:t>such</w:t>
      </w:r>
      <w:proofErr w:type="gramEnd"/>
      <w:r w:rsidRPr="007B2C1B">
        <w:rPr>
          <w:rFonts w:eastAsia="BatangChe"/>
          <w:szCs w:val="24"/>
          <w:lang w:val="en-US"/>
        </w:rPr>
        <w:t xml:space="preserve"> identification should not be conditioned by identification for use by active services</w:t>
      </w:r>
    </w:p>
    <w:p w:rsidR="00DB25B2" w:rsidRPr="00DB25B2" w:rsidRDefault="00DB25B2" w:rsidP="008C3156">
      <w:pPr>
        <w:ind w:left="1800"/>
        <w:jc w:val="both"/>
        <w:rPr>
          <w:lang w:val="en-US"/>
        </w:rPr>
      </w:pPr>
    </w:p>
    <w:p w:rsidR="006A5A02" w:rsidRDefault="006A5A02" w:rsidP="00C075C0">
      <w:pPr>
        <w:jc w:val="both"/>
        <w:rPr>
          <w:b/>
        </w:rPr>
      </w:pPr>
      <w:r>
        <w:rPr>
          <w:b/>
        </w:rPr>
        <w:t xml:space="preserve">Resolution </w:t>
      </w:r>
      <w:proofErr w:type="gramStart"/>
      <w:r>
        <w:rPr>
          <w:b/>
        </w:rPr>
        <w:t>955 :</w:t>
      </w:r>
      <w:proofErr w:type="gramEnd"/>
    </w:p>
    <w:p w:rsidR="003B6AE8" w:rsidRPr="007B2C1B" w:rsidRDefault="003B6AE8" w:rsidP="003B6AE8">
      <w:pPr>
        <w:tabs>
          <w:tab w:val="clear" w:pos="794"/>
          <w:tab w:val="clear" w:pos="1191"/>
          <w:tab w:val="clear" w:pos="1588"/>
          <w:tab w:val="clear" w:pos="1985"/>
        </w:tabs>
        <w:overflowPunct/>
        <w:autoSpaceDE/>
        <w:autoSpaceDN/>
        <w:adjustRightInd/>
        <w:spacing w:before="0"/>
        <w:jc w:val="both"/>
        <w:textAlignment w:val="auto"/>
        <w:rPr>
          <w:rFonts w:eastAsia="SimSun"/>
          <w:b/>
          <w:i/>
          <w:szCs w:val="24"/>
          <w:lang w:val="en-US" w:eastAsia="zh-CN"/>
        </w:rPr>
      </w:pPr>
      <w:r w:rsidRPr="007B2C1B">
        <w:rPr>
          <w:rFonts w:eastAsia="SimSun" w:hint="eastAsia"/>
          <w:snapToGrid w:val="0"/>
          <w:szCs w:val="24"/>
          <w:lang w:val="en-US" w:eastAsia="zh-CN"/>
        </w:rPr>
        <w:t xml:space="preserve">APT </w:t>
      </w:r>
      <w:r w:rsidRPr="007B2C1B">
        <w:rPr>
          <w:rFonts w:eastAsia="SimSun" w:hint="eastAsia"/>
          <w:szCs w:val="24"/>
          <w:lang w:val="en-US" w:eastAsia="zh-CN"/>
        </w:rPr>
        <w:t>M</w:t>
      </w:r>
      <w:r w:rsidRPr="007B2C1B">
        <w:rPr>
          <w:rFonts w:eastAsia="SimSun"/>
          <w:szCs w:val="24"/>
          <w:lang w:val="en-US" w:eastAsia="zh-CN"/>
        </w:rPr>
        <w:t>embers</w:t>
      </w:r>
      <w:r w:rsidRPr="007B2C1B">
        <w:rPr>
          <w:rFonts w:eastAsia="SimSun" w:hint="eastAsia"/>
          <w:snapToGrid w:val="0"/>
          <w:szCs w:val="24"/>
          <w:lang w:val="en-US" w:eastAsia="zh-CN"/>
        </w:rPr>
        <w:t xml:space="preserve"> support studies to </w:t>
      </w:r>
      <w:r w:rsidRPr="007B2C1B">
        <w:rPr>
          <w:rFonts w:eastAsia="BatangChe" w:hint="eastAsia"/>
          <w:snapToGrid w:val="0"/>
          <w:szCs w:val="24"/>
          <w:lang w:val="en-US" w:eastAsia="ko-KR"/>
        </w:rPr>
        <w:t>consider</w:t>
      </w:r>
      <w:r w:rsidRPr="007B2C1B">
        <w:rPr>
          <w:rFonts w:eastAsia="BatangChe"/>
          <w:snapToGrid w:val="0"/>
          <w:szCs w:val="24"/>
          <w:lang w:val="en-US"/>
        </w:rPr>
        <w:t xml:space="preserve"> </w:t>
      </w:r>
      <w:r w:rsidRPr="007B2C1B">
        <w:rPr>
          <w:rFonts w:eastAsia="BatangChe"/>
          <w:szCs w:val="24"/>
          <w:lang w:val="en-US"/>
        </w:rPr>
        <w:t xml:space="preserve">possible </w:t>
      </w:r>
      <w:r w:rsidRPr="007B2C1B">
        <w:rPr>
          <w:rFonts w:eastAsia="BatangChe"/>
          <w:snapToGrid w:val="0"/>
          <w:szCs w:val="24"/>
          <w:lang w:val="en-US"/>
        </w:rPr>
        <w:t>procedures for free-space optical</w:t>
      </w:r>
      <w:r w:rsidRPr="007B2C1B">
        <w:rPr>
          <w:rFonts w:eastAsia="SimSun" w:hint="eastAsia"/>
          <w:snapToGrid w:val="0"/>
          <w:szCs w:val="24"/>
          <w:lang w:val="en-US" w:eastAsia="zh-CN"/>
        </w:rPr>
        <w:t xml:space="preserve"> </w:t>
      </w:r>
      <w:r w:rsidRPr="007B2C1B">
        <w:rPr>
          <w:rFonts w:eastAsia="BatangChe"/>
          <w:snapToGrid w:val="0"/>
          <w:szCs w:val="24"/>
          <w:lang w:val="en-US"/>
        </w:rPr>
        <w:t>links</w:t>
      </w:r>
      <w:r w:rsidRPr="007B2C1B">
        <w:rPr>
          <w:rFonts w:eastAsia="SimSun" w:hint="eastAsia"/>
          <w:snapToGrid w:val="0"/>
          <w:szCs w:val="24"/>
          <w:lang w:val="en-US" w:eastAsia="zh-CN"/>
        </w:rPr>
        <w:t xml:space="preserve">, in accordance with </w:t>
      </w:r>
      <w:r w:rsidRPr="007B2C1B">
        <w:rPr>
          <w:rFonts w:eastAsia="BatangChe"/>
          <w:szCs w:val="24"/>
          <w:lang w:val="en-US"/>
        </w:rPr>
        <w:t xml:space="preserve">Resolution </w:t>
      </w:r>
      <w:r w:rsidRPr="007B2C1B">
        <w:rPr>
          <w:rFonts w:eastAsia="BatangChe"/>
          <w:b/>
          <w:szCs w:val="24"/>
          <w:lang w:val="en-US"/>
        </w:rPr>
        <w:t>95</w:t>
      </w:r>
      <w:r w:rsidRPr="007B2C1B">
        <w:rPr>
          <w:rFonts w:eastAsia="SimSun" w:hint="eastAsia"/>
          <w:b/>
          <w:szCs w:val="24"/>
          <w:lang w:val="en-US" w:eastAsia="zh-CN"/>
        </w:rPr>
        <w:t>5</w:t>
      </w:r>
      <w:r w:rsidRPr="007B2C1B">
        <w:rPr>
          <w:rFonts w:eastAsia="BatangChe"/>
          <w:szCs w:val="24"/>
          <w:lang w:val="en-US"/>
        </w:rPr>
        <w:t xml:space="preserve"> (WRC-07)</w:t>
      </w:r>
      <w:r w:rsidRPr="007B2C1B">
        <w:rPr>
          <w:rFonts w:eastAsia="BatangChe"/>
          <w:snapToGrid w:val="0"/>
          <w:szCs w:val="24"/>
          <w:lang w:val="en-US"/>
        </w:rPr>
        <w:t xml:space="preserve">, and </w:t>
      </w:r>
      <w:r w:rsidRPr="007B2C1B">
        <w:rPr>
          <w:rFonts w:eastAsia="SimSun" w:hint="eastAsia"/>
          <w:snapToGrid w:val="0"/>
          <w:szCs w:val="24"/>
          <w:lang w:val="en-US" w:eastAsia="zh-CN"/>
        </w:rPr>
        <w:t xml:space="preserve">the only </w:t>
      </w:r>
      <w:r w:rsidRPr="007B2C1B">
        <w:rPr>
          <w:rFonts w:eastAsia="BatangChe"/>
          <w:snapToGrid w:val="0"/>
          <w:szCs w:val="24"/>
          <w:lang w:val="en-US"/>
        </w:rPr>
        <w:t xml:space="preserve">Method in the CPM </w:t>
      </w:r>
      <w:r w:rsidRPr="007B2C1B">
        <w:rPr>
          <w:rFonts w:eastAsia="SimSun" w:hint="eastAsia"/>
          <w:snapToGrid w:val="0"/>
          <w:szCs w:val="24"/>
          <w:lang w:val="en-US" w:eastAsia="zh-CN"/>
        </w:rPr>
        <w:t>Report</w:t>
      </w:r>
      <w:r w:rsidRPr="007B2C1B">
        <w:rPr>
          <w:rFonts w:eastAsia="BatangChe"/>
          <w:snapToGrid w:val="0"/>
          <w:szCs w:val="24"/>
          <w:lang w:val="en-US"/>
        </w:rPr>
        <w:t xml:space="preserve"> </w:t>
      </w:r>
      <w:r w:rsidRPr="007B2C1B">
        <w:rPr>
          <w:rFonts w:eastAsia="SimSun" w:hint="eastAsia"/>
          <w:snapToGrid w:val="0"/>
          <w:szCs w:val="24"/>
          <w:lang w:val="en-US" w:eastAsia="zh-CN"/>
        </w:rPr>
        <w:t xml:space="preserve">which means </w:t>
      </w:r>
      <w:r w:rsidRPr="007B2C1B">
        <w:rPr>
          <w:rFonts w:eastAsia="BatangChe"/>
          <w:snapToGrid w:val="0"/>
          <w:szCs w:val="24"/>
          <w:lang w:val="en-US"/>
        </w:rPr>
        <w:t>no changes to the Radio Regulations for free-space optical systems</w:t>
      </w:r>
      <w:r w:rsidRPr="007B2C1B">
        <w:rPr>
          <w:rFonts w:eastAsia="SimSun" w:hint="eastAsia"/>
          <w:snapToGrid w:val="0"/>
          <w:szCs w:val="24"/>
          <w:lang w:val="en-US" w:eastAsia="zh-CN"/>
        </w:rPr>
        <w:t xml:space="preserve">, </w:t>
      </w:r>
      <w:r w:rsidRPr="007B2C1B">
        <w:rPr>
          <w:rFonts w:eastAsia="BatangChe" w:hint="eastAsia"/>
          <w:snapToGrid w:val="0"/>
          <w:szCs w:val="24"/>
          <w:lang w:val="en-US"/>
        </w:rPr>
        <w:t>considering the responsibility</w:t>
      </w:r>
      <w:r w:rsidRPr="007B2C1B">
        <w:rPr>
          <w:rFonts w:eastAsia="BatangChe"/>
          <w:snapToGrid w:val="0"/>
          <w:szCs w:val="24"/>
          <w:lang w:val="en-US"/>
        </w:rPr>
        <w:t xml:space="preserve"> of</w:t>
      </w:r>
      <w:r w:rsidRPr="007B2C1B">
        <w:rPr>
          <w:rFonts w:eastAsia="BatangChe" w:hint="eastAsia"/>
          <w:snapToGrid w:val="0"/>
          <w:szCs w:val="24"/>
          <w:lang w:val="en-US"/>
        </w:rPr>
        <w:t xml:space="preserve"> </w:t>
      </w:r>
      <w:r w:rsidRPr="007B2C1B">
        <w:rPr>
          <w:rFonts w:eastAsia="BatangChe"/>
          <w:snapToGrid w:val="0"/>
          <w:szCs w:val="24"/>
          <w:lang w:val="en-US"/>
        </w:rPr>
        <w:t>each</w:t>
      </w:r>
      <w:r w:rsidRPr="007B2C1B">
        <w:rPr>
          <w:rFonts w:eastAsia="BatangChe" w:hint="eastAsia"/>
          <w:snapToGrid w:val="0"/>
          <w:szCs w:val="24"/>
          <w:lang w:val="en-US"/>
        </w:rPr>
        <w:t xml:space="preserve"> administration according to ITU </w:t>
      </w:r>
      <w:r w:rsidRPr="007B2C1B">
        <w:rPr>
          <w:rFonts w:eastAsia="BatangChe"/>
          <w:snapToGrid w:val="0"/>
          <w:szCs w:val="24"/>
          <w:lang w:val="en-US"/>
        </w:rPr>
        <w:t>convention</w:t>
      </w:r>
      <w:r w:rsidRPr="007B2C1B">
        <w:rPr>
          <w:rFonts w:eastAsia="BatangChe" w:hint="eastAsia"/>
          <w:snapToGrid w:val="0"/>
          <w:szCs w:val="24"/>
          <w:lang w:val="en-US"/>
        </w:rPr>
        <w:t xml:space="preserve"> for radiocommunication.</w:t>
      </w:r>
    </w:p>
    <w:p w:rsidR="003B6AE8" w:rsidRPr="007B2C1B" w:rsidRDefault="003B6AE8" w:rsidP="003B6AE8">
      <w:pPr>
        <w:tabs>
          <w:tab w:val="clear" w:pos="794"/>
          <w:tab w:val="clear" w:pos="1191"/>
          <w:tab w:val="clear" w:pos="1588"/>
          <w:tab w:val="clear" w:pos="1985"/>
        </w:tabs>
        <w:overflowPunct/>
        <w:autoSpaceDE/>
        <w:autoSpaceDN/>
        <w:adjustRightInd/>
        <w:spacing w:before="0"/>
        <w:jc w:val="both"/>
        <w:textAlignment w:val="auto"/>
        <w:rPr>
          <w:rFonts w:eastAsia="BatangChe"/>
          <w:snapToGrid w:val="0"/>
          <w:szCs w:val="24"/>
          <w:highlight w:val="yellow"/>
          <w:lang w:val="en-US" w:eastAsia="ko-KR"/>
        </w:rPr>
      </w:pPr>
    </w:p>
    <w:p w:rsidR="003B6AE8" w:rsidRPr="007B2C1B" w:rsidRDefault="003B6AE8" w:rsidP="003B6AE8">
      <w:pPr>
        <w:tabs>
          <w:tab w:val="clear" w:pos="794"/>
          <w:tab w:val="clear" w:pos="1191"/>
          <w:tab w:val="clear" w:pos="1588"/>
          <w:tab w:val="clear" w:pos="1985"/>
        </w:tabs>
        <w:overflowPunct/>
        <w:autoSpaceDE/>
        <w:autoSpaceDN/>
        <w:adjustRightInd/>
        <w:spacing w:before="0"/>
        <w:jc w:val="both"/>
        <w:textAlignment w:val="auto"/>
        <w:rPr>
          <w:rFonts w:eastAsia="SimSun"/>
          <w:snapToGrid w:val="0"/>
          <w:szCs w:val="24"/>
          <w:highlight w:val="yellow"/>
          <w:lang w:val="en-US" w:eastAsia="zh-CN"/>
        </w:rPr>
      </w:pPr>
      <w:r w:rsidRPr="007B2C1B">
        <w:rPr>
          <w:rFonts w:eastAsia="SimSun"/>
          <w:snapToGrid w:val="0"/>
          <w:szCs w:val="24"/>
          <w:lang w:val="en-US" w:eastAsia="zh-CN"/>
        </w:rPr>
        <w:t xml:space="preserve">APT Members </w:t>
      </w:r>
      <w:r w:rsidRPr="007B2C1B">
        <w:rPr>
          <w:rFonts w:eastAsia="SimSun" w:hint="eastAsia"/>
          <w:snapToGrid w:val="0"/>
          <w:szCs w:val="24"/>
          <w:lang w:val="en-US" w:eastAsia="zh-CN"/>
        </w:rPr>
        <w:t xml:space="preserve">also </w:t>
      </w:r>
      <w:r w:rsidRPr="007B2C1B">
        <w:rPr>
          <w:rFonts w:eastAsia="SimSun"/>
          <w:snapToGrid w:val="0"/>
          <w:szCs w:val="24"/>
          <w:lang w:val="en-US" w:eastAsia="zh-CN"/>
        </w:rPr>
        <w:t xml:space="preserve">support that ITU-R through its traditional studies </w:t>
      </w:r>
      <w:r w:rsidRPr="007B2C1B">
        <w:rPr>
          <w:rFonts w:eastAsia="SimSun" w:hint="eastAsia"/>
          <w:snapToGrid w:val="0"/>
          <w:szCs w:val="24"/>
          <w:lang w:val="en-US" w:eastAsia="zh-CN"/>
        </w:rPr>
        <w:t>consider</w:t>
      </w:r>
      <w:r w:rsidRPr="007B2C1B">
        <w:rPr>
          <w:rFonts w:eastAsia="SimSun"/>
          <w:snapToGrid w:val="0"/>
          <w:szCs w:val="24"/>
          <w:lang w:val="en-US" w:eastAsia="zh-CN"/>
        </w:rPr>
        <w:t xml:space="preserve"> possible course of action with respect to the use of free-space optical</w:t>
      </w:r>
      <w:r w:rsidRPr="007B2C1B">
        <w:rPr>
          <w:rFonts w:eastAsia="SimSun" w:hint="eastAsia"/>
          <w:snapToGrid w:val="0"/>
          <w:szCs w:val="24"/>
          <w:lang w:val="en-US" w:eastAsia="zh-CN"/>
        </w:rPr>
        <w:t xml:space="preserve"> </w:t>
      </w:r>
      <w:r w:rsidRPr="007B2C1B">
        <w:rPr>
          <w:rFonts w:eastAsia="SimSun"/>
          <w:snapToGrid w:val="0"/>
          <w:szCs w:val="24"/>
          <w:lang w:val="en-US" w:eastAsia="zh-CN"/>
        </w:rPr>
        <w:t>links</w:t>
      </w:r>
      <w:r w:rsidRPr="007B2C1B">
        <w:rPr>
          <w:rFonts w:eastAsia="SimSun" w:hint="eastAsia"/>
          <w:snapToGrid w:val="0"/>
          <w:szCs w:val="24"/>
          <w:lang w:val="en-US" w:eastAsia="zh-CN"/>
        </w:rPr>
        <w:t xml:space="preserve">, noting that the term of radiocommunication includes electromagnetic </w:t>
      </w:r>
      <w:r w:rsidRPr="007B2C1B">
        <w:rPr>
          <w:rFonts w:eastAsia="SimSun"/>
          <w:snapToGrid w:val="0"/>
          <w:szCs w:val="24"/>
          <w:lang w:val="en-US" w:eastAsia="zh-CN"/>
        </w:rPr>
        <w:t>waves of frequencies above 3 000 GHz</w:t>
      </w:r>
      <w:r w:rsidRPr="007B2C1B">
        <w:rPr>
          <w:rFonts w:eastAsia="SimSun" w:hint="eastAsia"/>
          <w:snapToGrid w:val="0"/>
          <w:szCs w:val="24"/>
          <w:lang w:val="en-US" w:eastAsia="zh-CN"/>
        </w:rPr>
        <w:t xml:space="preserve"> </w:t>
      </w:r>
      <w:r w:rsidRPr="007B2C1B">
        <w:rPr>
          <w:rFonts w:eastAsia="SimSun"/>
          <w:snapToGrid w:val="0"/>
          <w:szCs w:val="24"/>
          <w:lang w:val="en-US" w:eastAsia="zh-CN"/>
        </w:rPr>
        <w:t>(No. 1005 of the Annex to the ITU Convention)</w:t>
      </w:r>
      <w:r w:rsidRPr="007B2C1B">
        <w:rPr>
          <w:rFonts w:eastAsia="SimSun" w:hint="eastAsia"/>
          <w:snapToGrid w:val="0"/>
          <w:szCs w:val="24"/>
          <w:lang w:val="en-US" w:eastAsia="zh-CN"/>
        </w:rPr>
        <w:t xml:space="preserve">, in the context of the radiocommunication study groups addressing study questions and WRC resolutions and recommendation, </w:t>
      </w:r>
      <w:r w:rsidRPr="007B2C1B">
        <w:rPr>
          <w:rFonts w:eastAsia="SimSun"/>
          <w:snapToGrid w:val="0"/>
          <w:szCs w:val="24"/>
          <w:lang w:val="en-US" w:eastAsia="zh-CN"/>
        </w:rPr>
        <w:t>and Resolution 955 (WRC-07) should be suppressed</w:t>
      </w:r>
      <w:r w:rsidRPr="007B2C1B">
        <w:rPr>
          <w:rFonts w:eastAsia="SimSun" w:hint="eastAsia"/>
          <w:snapToGrid w:val="0"/>
          <w:szCs w:val="24"/>
          <w:lang w:val="en-US" w:eastAsia="zh-CN"/>
        </w:rPr>
        <w:t xml:space="preserve">. </w:t>
      </w:r>
    </w:p>
    <w:p w:rsidR="00870479" w:rsidRDefault="00870479" w:rsidP="00C075C0">
      <w:pPr>
        <w:jc w:val="both"/>
        <w:rPr>
          <w:b/>
        </w:rPr>
      </w:pPr>
      <w:r>
        <w:rPr>
          <w:b/>
        </w:rPr>
        <w:t>ATU (</w:t>
      </w:r>
      <w:r w:rsidR="00D71704">
        <w:rPr>
          <w:b/>
        </w:rPr>
        <w:t>July</w:t>
      </w:r>
      <w:r>
        <w:rPr>
          <w:b/>
        </w:rPr>
        <w:t>)</w:t>
      </w:r>
    </w:p>
    <w:p w:rsidR="00640700" w:rsidRDefault="00D71704" w:rsidP="00C075C0">
      <w:pPr>
        <w:jc w:val="both"/>
      </w:pPr>
      <w:r w:rsidRPr="008229B2">
        <w:t>Supports the proposed method under agenda item</w:t>
      </w:r>
    </w:p>
    <w:p w:rsidR="00D71704" w:rsidRDefault="00D71704" w:rsidP="00C075C0">
      <w:pPr>
        <w:jc w:val="both"/>
        <w:rPr>
          <w:b/>
        </w:rPr>
      </w:pPr>
    </w:p>
    <w:p w:rsidR="00870479" w:rsidRPr="00955913" w:rsidRDefault="00870479" w:rsidP="00C075C0">
      <w:pPr>
        <w:jc w:val="both"/>
      </w:pPr>
      <w:r>
        <w:rPr>
          <w:b/>
        </w:rPr>
        <w:t>A</w:t>
      </w:r>
      <w:r w:rsidR="00EA0F2E">
        <w:rPr>
          <w:b/>
        </w:rPr>
        <w:t>SMG</w:t>
      </w:r>
      <w:r>
        <w:rPr>
          <w:b/>
        </w:rPr>
        <w:t xml:space="preserve"> </w:t>
      </w:r>
      <w:r w:rsidRPr="00955913">
        <w:t>(</w:t>
      </w:r>
      <w:r w:rsidR="003B6AE8" w:rsidRPr="00955913">
        <w:t>October 2011</w:t>
      </w:r>
      <w:r w:rsidRPr="00955913">
        <w:t>)</w:t>
      </w:r>
    </w:p>
    <w:p w:rsidR="003B6AE8" w:rsidRPr="00955913" w:rsidRDefault="003B6AE8" w:rsidP="003B6AE8">
      <w:pPr>
        <w:numPr>
          <w:ilvl w:val="0"/>
          <w:numId w:val="19"/>
        </w:numPr>
        <w:jc w:val="both"/>
        <w:rPr>
          <w:lang w:val="en-US"/>
        </w:rPr>
      </w:pPr>
      <w:r w:rsidRPr="00955913">
        <w:rPr>
          <w:lang w:val="en-US"/>
        </w:rPr>
        <w:t xml:space="preserve">Resolution 950 (Rev.WRC-07) addresses the frequency range between 275 and 3 000 GHz: </w:t>
      </w:r>
      <w:r w:rsidRPr="00955913">
        <w:rPr>
          <w:u w:val="single"/>
          <w:lang w:val="en-US"/>
        </w:rPr>
        <w:t>(CPM Method)</w:t>
      </w:r>
      <w:r w:rsidRPr="00955913">
        <w:rPr>
          <w:lang w:val="en-US"/>
        </w:rPr>
        <w:t xml:space="preserve"> </w:t>
      </w:r>
    </w:p>
    <w:p w:rsidR="003B6AE8" w:rsidRPr="00955913" w:rsidRDefault="003B6AE8" w:rsidP="003B6AE8">
      <w:pPr>
        <w:numPr>
          <w:ilvl w:val="1"/>
          <w:numId w:val="19"/>
        </w:numPr>
        <w:jc w:val="both"/>
        <w:rPr>
          <w:lang w:val="en-US"/>
        </w:rPr>
      </w:pPr>
      <w:r w:rsidRPr="00955913">
        <w:rPr>
          <w:lang w:val="en-US"/>
        </w:rPr>
        <w:t xml:space="preserve">RR No. 5.565 would be modified to update the list of bands of interest to EESS, SRS, and RAS in the range 275-1 000 GHz. This modified footnote will also stress the interest of the passive services in all frequencies from 1 000-3 000 GHz, recognizing that sharing this frequency range with active services on the ground or in space should be possible without any constraints due to the extremely strong atmospheric absorption and the very narrow antenna </w:t>
      </w:r>
      <w:proofErr w:type="spellStart"/>
      <w:r w:rsidRPr="00955913">
        <w:rPr>
          <w:lang w:val="en-US"/>
        </w:rPr>
        <w:t>beamwidths</w:t>
      </w:r>
      <w:proofErr w:type="spellEnd"/>
      <w:r w:rsidRPr="00955913">
        <w:rPr>
          <w:lang w:val="en-US"/>
        </w:rPr>
        <w:t xml:space="preserve"> encountered in this range.</w:t>
      </w:r>
    </w:p>
    <w:p w:rsidR="003B6AE8" w:rsidRPr="00955913" w:rsidRDefault="003B6AE8" w:rsidP="003B6AE8">
      <w:pPr>
        <w:numPr>
          <w:ilvl w:val="0"/>
          <w:numId w:val="19"/>
        </w:numPr>
        <w:jc w:val="both"/>
        <w:rPr>
          <w:lang w:val="en-US"/>
        </w:rPr>
      </w:pPr>
      <w:r w:rsidRPr="00955913">
        <w:rPr>
          <w:lang w:val="en-US"/>
        </w:rPr>
        <w:t xml:space="preserve">Resolution 955 (WRC-07) considers possible procedures for free-space optical links): </w:t>
      </w:r>
      <w:r w:rsidRPr="00955913">
        <w:rPr>
          <w:u w:val="single"/>
          <w:lang w:val="en-US"/>
        </w:rPr>
        <w:t>(CPM Method)</w:t>
      </w:r>
    </w:p>
    <w:p w:rsidR="003B6AE8" w:rsidRPr="00955913" w:rsidRDefault="003B6AE8" w:rsidP="003B6AE8">
      <w:pPr>
        <w:numPr>
          <w:ilvl w:val="1"/>
          <w:numId w:val="19"/>
        </w:numPr>
        <w:jc w:val="both"/>
        <w:rPr>
          <w:lang w:val="en-US"/>
        </w:rPr>
      </w:pPr>
      <w:r w:rsidRPr="00955913">
        <w:rPr>
          <w:lang w:val="en-US"/>
        </w:rPr>
        <w:t>No change to the RR and consequential suppression of Res. 955 (WRC-07)</w:t>
      </w:r>
    </w:p>
    <w:p w:rsidR="003B6AE8" w:rsidRPr="00955913" w:rsidRDefault="003B6AE8" w:rsidP="00C075C0">
      <w:pPr>
        <w:jc w:val="both"/>
        <w:rPr>
          <w:b/>
          <w:lang w:val="en-US"/>
        </w:rPr>
      </w:pPr>
    </w:p>
    <w:p w:rsidR="003B6AE8" w:rsidRDefault="003B6AE8" w:rsidP="00C075C0">
      <w:pPr>
        <w:jc w:val="both"/>
        <w:rPr>
          <w:b/>
        </w:rPr>
      </w:pPr>
    </w:p>
    <w:p w:rsidR="00DA1B23" w:rsidRPr="00DB25B2" w:rsidRDefault="00DA1B23" w:rsidP="00C075C0">
      <w:pPr>
        <w:rPr>
          <w:lang w:val="en-US"/>
        </w:rPr>
      </w:pPr>
    </w:p>
    <w:p w:rsidR="00DA1B23" w:rsidRDefault="00DA1B23" w:rsidP="00C075C0">
      <w:pPr>
        <w:rPr>
          <w:b/>
        </w:rPr>
      </w:pPr>
      <w:r w:rsidRPr="007802D1">
        <w:rPr>
          <w:b/>
        </w:rPr>
        <w:t>CITEL (</w:t>
      </w:r>
      <w:r w:rsidR="000325FA">
        <w:rPr>
          <w:b/>
        </w:rPr>
        <w:t>May 2011</w:t>
      </w:r>
      <w:r w:rsidRPr="007802D1">
        <w:rPr>
          <w:b/>
        </w:rPr>
        <w:t>)</w:t>
      </w:r>
    </w:p>
    <w:p w:rsidR="00DA1B23" w:rsidRDefault="00DA1B23" w:rsidP="00C075C0">
      <w:pPr>
        <w:pStyle w:val="Head"/>
        <w:jc w:val="both"/>
        <w:rPr>
          <w:sz w:val="22"/>
          <w:szCs w:val="22"/>
        </w:rPr>
      </w:pPr>
    </w:p>
    <w:p w:rsidR="00DA1B23" w:rsidRPr="009A1FA7" w:rsidRDefault="00D41FF4" w:rsidP="000325FA">
      <w:pPr>
        <w:pStyle w:val="Head"/>
        <w:rPr>
          <w:szCs w:val="24"/>
          <w:lang w:val="en-CA"/>
        </w:rPr>
      </w:pPr>
      <w:r>
        <w:rPr>
          <w:b/>
          <w:bCs/>
          <w:szCs w:val="24"/>
          <w:lang w:val="en-CA"/>
        </w:rPr>
        <w:t xml:space="preserve">IAP </w:t>
      </w:r>
      <w:r w:rsidR="00DA1B23">
        <w:rPr>
          <w:b/>
          <w:bCs/>
          <w:szCs w:val="24"/>
          <w:lang w:val="en-CA"/>
        </w:rPr>
        <w:t>on Resolution 950</w:t>
      </w:r>
      <w:r>
        <w:rPr>
          <w:b/>
          <w:bCs/>
          <w:szCs w:val="24"/>
          <w:lang w:val="en-CA"/>
        </w:rPr>
        <w:t xml:space="preserve"> </w:t>
      </w:r>
    </w:p>
    <w:p w:rsidR="000325FA" w:rsidRPr="00C07900" w:rsidRDefault="000325FA" w:rsidP="000325FA">
      <w:pPr>
        <w:jc w:val="both"/>
        <w:rPr>
          <w:b/>
          <w:sz w:val="22"/>
          <w:szCs w:val="22"/>
        </w:rPr>
      </w:pPr>
      <w:r w:rsidRPr="00C07900">
        <w:rPr>
          <w:b/>
          <w:sz w:val="22"/>
          <w:szCs w:val="22"/>
        </w:rPr>
        <w:t xml:space="preserve">Argentine Republic, Brazil (Federative Republic of), Canada, </w:t>
      </w:r>
      <w:r w:rsidRPr="00360F2B">
        <w:rPr>
          <w:b/>
          <w:sz w:val="22"/>
          <w:szCs w:val="22"/>
        </w:rPr>
        <w:t>Colombia (Republic of),</w:t>
      </w:r>
      <w:r>
        <w:rPr>
          <w:sz w:val="22"/>
          <w:szCs w:val="22"/>
        </w:rPr>
        <w:t xml:space="preserve"> </w:t>
      </w:r>
      <w:r w:rsidRPr="00C07900">
        <w:rPr>
          <w:b/>
          <w:sz w:val="22"/>
          <w:szCs w:val="22"/>
        </w:rPr>
        <w:t>Costa Rica, Dominican Republic, United States of America, Guatemala (Republic of), Mexico, Uruguay (Eastern Republic of), Venezuela (Bolivarian Republic of)</w:t>
      </w:r>
    </w:p>
    <w:p w:rsidR="00DA1B23" w:rsidRDefault="00DA1B23" w:rsidP="00C075C0">
      <w:pPr>
        <w:pStyle w:val="Head"/>
        <w:jc w:val="both"/>
        <w:rPr>
          <w:szCs w:val="24"/>
        </w:rPr>
      </w:pPr>
    </w:p>
    <w:p w:rsidR="000325FA" w:rsidRPr="007B2A8B" w:rsidRDefault="000325FA" w:rsidP="000325FA">
      <w:pPr>
        <w:jc w:val="both"/>
        <w:rPr>
          <w:sz w:val="22"/>
          <w:szCs w:val="22"/>
        </w:rPr>
      </w:pPr>
      <w:r w:rsidRPr="007B2A8B">
        <w:rPr>
          <w:sz w:val="22"/>
          <w:szCs w:val="22"/>
        </w:rPr>
        <w:t>These administrations support the update of No.</w:t>
      </w:r>
      <w:r w:rsidRPr="007B2A8B">
        <w:rPr>
          <w:b/>
          <w:sz w:val="22"/>
          <w:szCs w:val="22"/>
        </w:rPr>
        <w:t>5.565</w:t>
      </w:r>
      <w:r w:rsidRPr="007B2A8B">
        <w:rPr>
          <w:sz w:val="22"/>
          <w:szCs w:val="22"/>
        </w:rPr>
        <w:t xml:space="preserve"> to include all bands of interest to RAS, EESS (passive) and SRS (passive) in the range 275–3000 GHz. </w:t>
      </w:r>
      <w:smartTag w:uri="urn:schemas-microsoft-com:office:smarttags" w:element="PersonName">
        <w:r w:rsidRPr="007B2A8B">
          <w:rPr>
            <w:sz w:val="22"/>
            <w:szCs w:val="22"/>
            <w:lang w:eastAsia="nl-NL"/>
          </w:rPr>
          <w:t>ITU-R</w:t>
        </w:r>
      </w:smartTag>
      <w:r w:rsidRPr="007B2A8B">
        <w:rPr>
          <w:sz w:val="22"/>
          <w:szCs w:val="22"/>
          <w:lang w:eastAsia="nl-NL"/>
        </w:rPr>
        <w:t xml:space="preserve"> studies have shown that unconstrained sharing between passive and active services in the frequency range 1 000-3 000 GHz is feasible; therefore passive services should have use of any band segment in this frequency range for experimentation. </w:t>
      </w:r>
      <w:r w:rsidRPr="007B2A8B">
        <w:rPr>
          <w:sz w:val="22"/>
          <w:szCs w:val="22"/>
        </w:rPr>
        <w:t>The identification of bands for use by passive services above 275 GHz should not preclude the use of these bands by the active services in the future.</w:t>
      </w:r>
    </w:p>
    <w:p w:rsidR="000325FA" w:rsidRPr="000325FA" w:rsidRDefault="000325FA" w:rsidP="00C075C0">
      <w:pPr>
        <w:pStyle w:val="Head"/>
        <w:jc w:val="both"/>
        <w:rPr>
          <w:szCs w:val="24"/>
        </w:rPr>
      </w:pPr>
    </w:p>
    <w:p w:rsidR="00DA1B23" w:rsidRDefault="00DA1B23" w:rsidP="00C075C0">
      <w:pPr>
        <w:pStyle w:val="Head"/>
        <w:jc w:val="both"/>
        <w:rPr>
          <w:szCs w:val="24"/>
          <w:lang w:val="en-CA"/>
        </w:rPr>
      </w:pPr>
    </w:p>
    <w:p w:rsidR="00DA1B23" w:rsidRDefault="0003542D" w:rsidP="00C075C0">
      <w:pPr>
        <w:pStyle w:val="Head"/>
        <w:jc w:val="both"/>
        <w:rPr>
          <w:b/>
          <w:bCs/>
          <w:szCs w:val="24"/>
          <w:lang w:val="sv-SE"/>
        </w:rPr>
      </w:pPr>
      <w:r w:rsidRPr="00D41FF4">
        <w:rPr>
          <w:b/>
          <w:bCs/>
          <w:szCs w:val="24"/>
          <w:lang w:val="sv-SE"/>
        </w:rPr>
        <w:t>IAP</w:t>
      </w:r>
      <w:r w:rsidR="00DA1B23" w:rsidRPr="00D41FF4">
        <w:rPr>
          <w:b/>
          <w:bCs/>
          <w:szCs w:val="24"/>
          <w:lang w:val="sv-SE"/>
        </w:rPr>
        <w:t>on Resolution 955</w:t>
      </w:r>
      <w:r w:rsidR="00D41FF4" w:rsidRPr="00D41FF4">
        <w:rPr>
          <w:b/>
          <w:bCs/>
          <w:szCs w:val="24"/>
          <w:lang w:val="sv-SE"/>
        </w:rPr>
        <w:t xml:space="preserve"> </w:t>
      </w:r>
    </w:p>
    <w:p w:rsidR="000325FA" w:rsidRPr="00C07900" w:rsidRDefault="000325FA" w:rsidP="000325FA">
      <w:pPr>
        <w:jc w:val="both"/>
        <w:rPr>
          <w:b/>
          <w:sz w:val="22"/>
          <w:szCs w:val="22"/>
        </w:rPr>
      </w:pPr>
      <w:r w:rsidRPr="00C07900">
        <w:rPr>
          <w:b/>
          <w:sz w:val="22"/>
          <w:szCs w:val="22"/>
        </w:rPr>
        <w:t xml:space="preserve">Argentine Republic, Brazil (Federative Republic of), Canada, </w:t>
      </w:r>
      <w:r w:rsidRPr="00360F2B">
        <w:rPr>
          <w:b/>
          <w:sz w:val="22"/>
          <w:szCs w:val="22"/>
        </w:rPr>
        <w:t>Colombia (Republic of),</w:t>
      </w:r>
      <w:r>
        <w:rPr>
          <w:sz w:val="22"/>
          <w:szCs w:val="22"/>
        </w:rPr>
        <w:t xml:space="preserve"> </w:t>
      </w:r>
      <w:r w:rsidRPr="00C07900">
        <w:rPr>
          <w:b/>
          <w:sz w:val="22"/>
          <w:szCs w:val="22"/>
        </w:rPr>
        <w:t>Costa Rica, Dominican Republic, United States of America, Guatemala (Republic of), Mexico, Uruguay (Eastern Republic of), Venezuela (Bolivarian Republic of)</w:t>
      </w:r>
    </w:p>
    <w:p w:rsidR="000325FA" w:rsidRPr="000325FA" w:rsidRDefault="000325FA" w:rsidP="00C075C0">
      <w:pPr>
        <w:pStyle w:val="Head"/>
        <w:jc w:val="both"/>
        <w:rPr>
          <w:b/>
          <w:bCs/>
          <w:szCs w:val="24"/>
          <w:u w:val="single"/>
        </w:rPr>
      </w:pPr>
    </w:p>
    <w:p w:rsidR="0003542D" w:rsidRPr="0003542D" w:rsidRDefault="00DA1B23" w:rsidP="0003542D">
      <w:pPr>
        <w:pStyle w:val="Head"/>
        <w:jc w:val="both"/>
        <w:rPr>
          <w:bCs/>
          <w:szCs w:val="24"/>
        </w:rPr>
      </w:pPr>
      <w:r>
        <w:rPr>
          <w:b/>
          <w:bCs/>
          <w:szCs w:val="24"/>
          <w:u w:val="single"/>
          <w:lang w:val="en-US"/>
        </w:rPr>
        <w:t xml:space="preserve">“No Change” </w:t>
      </w:r>
      <w:r w:rsidR="0003542D">
        <w:rPr>
          <w:b/>
          <w:bCs/>
          <w:szCs w:val="24"/>
          <w:u w:val="single"/>
          <w:lang w:val="en-US"/>
        </w:rPr>
        <w:t xml:space="preserve">NOC </w:t>
      </w:r>
      <w:r w:rsidRPr="009A1FA7">
        <w:rPr>
          <w:szCs w:val="24"/>
          <w:lang w:val="en-US"/>
        </w:rPr>
        <w:t>to RR Volumes 1 and 2</w:t>
      </w:r>
      <w:r>
        <w:rPr>
          <w:szCs w:val="24"/>
          <w:lang w:val="en-US"/>
        </w:rPr>
        <w:t xml:space="preserve"> </w:t>
      </w:r>
      <w:r w:rsidR="0003542D">
        <w:rPr>
          <w:szCs w:val="24"/>
          <w:lang w:val="en-US"/>
        </w:rPr>
        <w:t>(</w:t>
      </w:r>
      <w:r>
        <w:rPr>
          <w:szCs w:val="24"/>
          <w:lang w:val="en-US"/>
        </w:rPr>
        <w:t xml:space="preserve">since there </w:t>
      </w:r>
      <w:r w:rsidRPr="009A1FA7">
        <w:rPr>
          <w:szCs w:val="24"/>
          <w:lang w:val="en-US"/>
        </w:rPr>
        <w:t>is no evidence to suggest procedures for free space optical links are needed</w:t>
      </w:r>
      <w:r w:rsidR="0003542D">
        <w:rPr>
          <w:szCs w:val="24"/>
          <w:lang w:val="en-US"/>
        </w:rPr>
        <w:t>)</w:t>
      </w:r>
      <w:r>
        <w:rPr>
          <w:szCs w:val="24"/>
          <w:lang w:val="en-US"/>
        </w:rPr>
        <w:t xml:space="preserve"> and Suppression of </w:t>
      </w:r>
      <w:r w:rsidRPr="009A1FA7">
        <w:rPr>
          <w:szCs w:val="24"/>
          <w:lang w:val="en-CA"/>
        </w:rPr>
        <w:t xml:space="preserve">Resolution </w:t>
      </w:r>
      <w:r w:rsidRPr="009A1FA7">
        <w:rPr>
          <w:b/>
          <w:bCs/>
          <w:szCs w:val="24"/>
          <w:lang w:val="en-CA"/>
        </w:rPr>
        <w:t>955 (WRC-07)</w:t>
      </w:r>
      <w:r w:rsidR="0003542D" w:rsidRPr="0003542D">
        <w:rPr>
          <w:bCs/>
          <w:szCs w:val="24"/>
          <w:lang w:val="en-CA"/>
        </w:rPr>
        <w:t xml:space="preserve"> </w:t>
      </w:r>
      <w:r w:rsidR="0003542D" w:rsidRPr="0003542D">
        <w:rPr>
          <w:bCs/>
          <w:szCs w:val="24"/>
        </w:rPr>
        <w:t>(s</w:t>
      </w:r>
      <w:proofErr w:type="spellStart"/>
      <w:r w:rsidR="0003542D" w:rsidRPr="0003542D">
        <w:rPr>
          <w:bCs/>
          <w:szCs w:val="24"/>
          <w:lang w:val="en-US"/>
        </w:rPr>
        <w:t>ince</w:t>
      </w:r>
      <w:proofErr w:type="spellEnd"/>
      <w:r w:rsidR="0003542D" w:rsidRPr="0003542D">
        <w:rPr>
          <w:bCs/>
          <w:szCs w:val="24"/>
          <w:lang w:val="en-US"/>
        </w:rPr>
        <w:t xml:space="preserve"> no regulatory action or further work is required on procedures for free-space optical link)</w:t>
      </w:r>
    </w:p>
    <w:p w:rsidR="005E2F1F" w:rsidRDefault="005E2F1F" w:rsidP="00C075C0">
      <w:pPr>
        <w:jc w:val="both"/>
        <w:rPr>
          <w:b/>
        </w:rPr>
      </w:pPr>
    </w:p>
    <w:p w:rsidR="00870479" w:rsidRPr="005211D7" w:rsidRDefault="00870479" w:rsidP="00C075C0">
      <w:pPr>
        <w:jc w:val="both"/>
        <w:rPr>
          <w:i/>
        </w:rPr>
      </w:pPr>
      <w:r>
        <w:rPr>
          <w:b/>
        </w:rPr>
        <w:t>RCC (</w:t>
      </w:r>
      <w:r w:rsidR="00704D2B">
        <w:rPr>
          <w:b/>
        </w:rPr>
        <w:t>September 2011</w:t>
      </w:r>
      <w:r>
        <w:rPr>
          <w:b/>
        </w:rPr>
        <w:t>)</w:t>
      </w:r>
      <w:r w:rsidR="005211D7" w:rsidRPr="005211D7">
        <w:rPr>
          <w:i/>
        </w:rPr>
        <w:t xml:space="preserve"> </w:t>
      </w:r>
    </w:p>
    <w:p w:rsidR="007160B7" w:rsidRPr="00B47FE1" w:rsidRDefault="007160B7" w:rsidP="00C075C0">
      <w:pPr>
        <w:spacing w:after="120"/>
        <w:jc w:val="both"/>
        <w:rPr>
          <w:b/>
          <w:i/>
          <w:lang w:val="en-US"/>
        </w:rPr>
      </w:pPr>
      <w:r w:rsidRPr="00B47FE1">
        <w:rPr>
          <w:b/>
          <w:i/>
          <w:lang w:val="en-US"/>
        </w:rPr>
        <w:t>Band 275 GHz - 3000 GHz (Resolution 950)</w:t>
      </w:r>
    </w:p>
    <w:p w:rsidR="00704D2B" w:rsidRDefault="00704D2B" w:rsidP="00704D2B">
      <w:pPr>
        <w:jc w:val="both"/>
        <w:rPr>
          <w:color w:val="000000"/>
          <w:szCs w:val="24"/>
          <w:lang w:eastAsia="ru-RU"/>
        </w:rPr>
      </w:pPr>
      <w:r w:rsidRPr="002046C5">
        <w:rPr>
          <w:szCs w:val="24"/>
          <w:lang w:val="en-US"/>
        </w:rPr>
        <w:t xml:space="preserve">RCC CAs support revision of </w:t>
      </w:r>
      <w:r w:rsidRPr="002046C5">
        <w:rPr>
          <w:iCs/>
          <w:szCs w:val="24"/>
          <w:lang w:val="en-US"/>
        </w:rPr>
        <w:t>RR No.</w:t>
      </w:r>
      <w:r w:rsidRPr="002046C5">
        <w:rPr>
          <w:i/>
          <w:szCs w:val="24"/>
          <w:lang w:val="en-US"/>
        </w:rPr>
        <w:t xml:space="preserve"> </w:t>
      </w:r>
      <w:smartTag w:uri="urn:schemas-microsoft-com:office:smarttags" w:element="metricconverter">
        <w:smartTagPr>
          <w:attr w:name="ProductID" w:val="5.565 in"/>
        </w:smartTagPr>
        <w:r w:rsidRPr="002046C5">
          <w:rPr>
            <w:b/>
            <w:bCs/>
            <w:szCs w:val="24"/>
            <w:lang w:val="en-US"/>
          </w:rPr>
          <w:t>5.565</w:t>
        </w:r>
        <w:r w:rsidRPr="002046C5">
          <w:rPr>
            <w:b/>
            <w:bCs/>
            <w:i/>
            <w:szCs w:val="24"/>
            <w:lang w:val="en-US"/>
          </w:rPr>
          <w:t xml:space="preserve"> </w:t>
        </w:r>
        <w:r w:rsidRPr="002046C5">
          <w:rPr>
            <w:szCs w:val="24"/>
            <w:lang w:val="en-US"/>
          </w:rPr>
          <w:t>in</w:t>
        </w:r>
      </w:smartTag>
      <w:r w:rsidRPr="002046C5">
        <w:rPr>
          <w:szCs w:val="24"/>
          <w:lang w:val="en-US"/>
        </w:rPr>
        <w:t xml:space="preserve"> accordance with Section 4/1.6/1.6 CPM </w:t>
      </w:r>
      <w:proofErr w:type="gramStart"/>
      <w:r w:rsidRPr="002046C5">
        <w:rPr>
          <w:szCs w:val="24"/>
          <w:lang w:val="en-US"/>
        </w:rPr>
        <w:t xml:space="preserve">Report </w:t>
      </w:r>
      <w:r w:rsidRPr="002046C5">
        <w:rPr>
          <w:color w:val="000000"/>
          <w:szCs w:val="24"/>
          <w:lang w:eastAsia="ru-RU"/>
        </w:rPr>
        <w:t xml:space="preserve"> </w:t>
      </w:r>
      <w:proofErr w:type="gramEnd"/>
      <w:r w:rsidRPr="002046C5">
        <w:rPr>
          <w:color w:val="000000"/>
          <w:szCs w:val="24"/>
          <w:lang w:eastAsia="ru-RU"/>
        </w:rPr>
        <w:br/>
        <w:t>(see the Method related to</w:t>
      </w:r>
      <w:r w:rsidRPr="002046C5">
        <w:rPr>
          <w:szCs w:val="24"/>
          <w:lang w:eastAsia="ru-RU"/>
        </w:rPr>
        <w:t xml:space="preserve"> </w:t>
      </w:r>
      <w:r w:rsidRPr="002046C5">
        <w:rPr>
          <w:color w:val="000000"/>
          <w:szCs w:val="24"/>
          <w:lang w:eastAsia="ru-RU"/>
        </w:rPr>
        <w:t>Resolution 950 (</w:t>
      </w:r>
      <w:r w:rsidRPr="002046C5">
        <w:rPr>
          <w:szCs w:val="24"/>
          <w:lang w:val="en-US"/>
        </w:rPr>
        <w:t xml:space="preserve">Rev. </w:t>
      </w:r>
      <w:r w:rsidRPr="002046C5">
        <w:rPr>
          <w:color w:val="000000"/>
          <w:szCs w:val="24"/>
          <w:lang w:eastAsia="ru-RU"/>
        </w:rPr>
        <w:t>WRC-07) in the CPM Report).</w:t>
      </w:r>
    </w:p>
    <w:p w:rsidR="00704D2B" w:rsidRPr="002046C5" w:rsidRDefault="00704D2B" w:rsidP="00704D2B">
      <w:pPr>
        <w:jc w:val="both"/>
        <w:rPr>
          <w:color w:val="888888"/>
          <w:sz w:val="20"/>
          <w:lang w:val="en-US" w:eastAsia="ru-RU"/>
        </w:rPr>
      </w:pPr>
    </w:p>
    <w:p w:rsidR="007160B7" w:rsidRPr="00B47FE1" w:rsidRDefault="007160B7" w:rsidP="00C075C0">
      <w:pPr>
        <w:spacing w:after="120"/>
        <w:jc w:val="both"/>
        <w:rPr>
          <w:b/>
          <w:i/>
          <w:lang w:val="en-US"/>
        </w:rPr>
      </w:pPr>
      <w:r w:rsidRPr="00B47FE1">
        <w:rPr>
          <w:b/>
          <w:i/>
          <w:lang w:val="en-US"/>
        </w:rPr>
        <w:t>Free-space optical links (Resolution 955)</w:t>
      </w:r>
    </w:p>
    <w:p w:rsidR="00381197" w:rsidRPr="002046C5" w:rsidRDefault="00381197" w:rsidP="00381197">
      <w:pPr>
        <w:jc w:val="both"/>
        <w:rPr>
          <w:szCs w:val="24"/>
          <w:lang w:val="en-US"/>
        </w:rPr>
      </w:pPr>
      <w:r w:rsidRPr="002046C5">
        <w:rPr>
          <w:szCs w:val="24"/>
          <w:lang w:val="en-US"/>
        </w:rPr>
        <w:t xml:space="preserve">RCC CAs </w:t>
      </w:r>
      <w:proofErr w:type="gramStart"/>
      <w:r w:rsidRPr="002046C5">
        <w:rPr>
          <w:szCs w:val="24"/>
          <w:lang w:val="en-US"/>
        </w:rPr>
        <w:t>consider</w:t>
      </w:r>
      <w:proofErr w:type="gramEnd"/>
      <w:r w:rsidRPr="002046C5">
        <w:rPr>
          <w:szCs w:val="24"/>
          <w:lang w:val="en-US"/>
        </w:rPr>
        <w:t xml:space="preserve"> that any </w:t>
      </w:r>
      <w:r w:rsidRPr="002046C5">
        <w:rPr>
          <w:color w:val="000000"/>
          <w:szCs w:val="24"/>
          <w:lang w:eastAsia="ru-RU"/>
        </w:rPr>
        <w:t>regulatory procedures are</w:t>
      </w:r>
      <w:r w:rsidRPr="002046C5">
        <w:rPr>
          <w:color w:val="000000"/>
          <w:szCs w:val="24"/>
          <w:lang w:val="en-US" w:eastAsia="ru-RU"/>
        </w:rPr>
        <w:t xml:space="preserve"> not to be taken </w:t>
      </w:r>
      <w:r w:rsidRPr="002046C5">
        <w:rPr>
          <w:color w:val="000000"/>
          <w:szCs w:val="24"/>
          <w:lang w:eastAsia="ru-RU"/>
        </w:rPr>
        <w:t xml:space="preserve">for </w:t>
      </w:r>
      <w:r w:rsidRPr="002046C5">
        <w:rPr>
          <w:i/>
          <w:color w:val="000000"/>
          <w:szCs w:val="24"/>
          <w:lang w:val="en-US" w:eastAsia="ru-RU"/>
        </w:rPr>
        <w:t>f</w:t>
      </w:r>
      <w:r w:rsidRPr="002046C5">
        <w:rPr>
          <w:i/>
          <w:szCs w:val="24"/>
          <w:lang w:val="en-US"/>
        </w:rPr>
        <w:t xml:space="preserve">ree-space optical links </w:t>
      </w:r>
      <w:r w:rsidRPr="002046C5">
        <w:rPr>
          <w:szCs w:val="24"/>
          <w:lang w:val="en-US"/>
        </w:rPr>
        <w:t xml:space="preserve">at WRC-12. </w:t>
      </w:r>
    </w:p>
    <w:p w:rsidR="00381197" w:rsidRPr="002046C5" w:rsidRDefault="00381197" w:rsidP="00381197">
      <w:pPr>
        <w:jc w:val="both"/>
        <w:rPr>
          <w:color w:val="888888"/>
          <w:sz w:val="20"/>
          <w:lang w:val="en-US" w:eastAsia="ru-RU"/>
        </w:rPr>
      </w:pPr>
      <w:bookmarkStart w:id="0" w:name="OLE_LINK3"/>
      <w:bookmarkStart w:id="1" w:name="OLE_LINK4"/>
      <w:bookmarkStart w:id="2" w:name="OLE_LINK5"/>
      <w:bookmarkStart w:id="3" w:name="OLE_LINK6"/>
      <w:r w:rsidRPr="002046C5">
        <w:rPr>
          <w:szCs w:val="24"/>
          <w:lang w:val="en-US"/>
        </w:rPr>
        <w:t xml:space="preserve">RCC CAs propose to make no </w:t>
      </w:r>
      <w:proofErr w:type="gramStart"/>
      <w:r w:rsidRPr="002046C5">
        <w:rPr>
          <w:szCs w:val="24"/>
          <w:lang w:val="en-US"/>
        </w:rPr>
        <w:t xml:space="preserve">changes </w:t>
      </w:r>
      <w:r w:rsidRPr="002046C5">
        <w:rPr>
          <w:color w:val="000000"/>
          <w:szCs w:val="24"/>
          <w:lang w:eastAsia="ru-RU"/>
        </w:rPr>
        <w:t xml:space="preserve"> to</w:t>
      </w:r>
      <w:proofErr w:type="gramEnd"/>
      <w:r w:rsidRPr="002046C5">
        <w:rPr>
          <w:color w:val="000000"/>
          <w:szCs w:val="24"/>
          <w:lang w:eastAsia="ru-RU"/>
        </w:rPr>
        <w:t xml:space="preserve"> the Radio Regulations</w:t>
      </w:r>
      <w:r w:rsidRPr="002046C5">
        <w:rPr>
          <w:szCs w:val="24"/>
          <w:lang w:val="en-US" w:eastAsia="ru-RU"/>
        </w:rPr>
        <w:t xml:space="preserve"> and propose to suppress  Resolution </w:t>
      </w:r>
      <w:r w:rsidRPr="002046C5">
        <w:rPr>
          <w:b/>
          <w:bCs/>
          <w:szCs w:val="24"/>
          <w:lang w:val="en-US" w:eastAsia="ru-RU"/>
        </w:rPr>
        <w:t>955</w:t>
      </w:r>
      <w:r w:rsidRPr="002046C5">
        <w:rPr>
          <w:b/>
          <w:szCs w:val="24"/>
          <w:lang w:val="en-US" w:eastAsia="ru-RU"/>
        </w:rPr>
        <w:t xml:space="preserve"> </w:t>
      </w:r>
      <w:r w:rsidRPr="002046C5">
        <w:rPr>
          <w:b/>
          <w:bCs/>
          <w:szCs w:val="24"/>
          <w:lang w:val="en-US" w:eastAsia="ru-RU"/>
        </w:rPr>
        <w:t>(WRC-07)</w:t>
      </w:r>
      <w:bookmarkEnd w:id="0"/>
      <w:bookmarkEnd w:id="1"/>
      <w:bookmarkEnd w:id="2"/>
      <w:bookmarkEnd w:id="3"/>
      <w:r w:rsidRPr="002046C5">
        <w:rPr>
          <w:b/>
          <w:bCs/>
          <w:szCs w:val="24"/>
          <w:lang w:val="en-US" w:eastAsia="ru-RU"/>
        </w:rPr>
        <w:t xml:space="preserve"> </w:t>
      </w:r>
      <w:r w:rsidRPr="002046C5">
        <w:rPr>
          <w:color w:val="000000"/>
          <w:szCs w:val="24"/>
          <w:lang w:eastAsia="ru-RU"/>
        </w:rPr>
        <w:t>(see the Method related to</w:t>
      </w:r>
      <w:r w:rsidRPr="002046C5">
        <w:rPr>
          <w:szCs w:val="24"/>
          <w:lang w:eastAsia="ru-RU"/>
        </w:rPr>
        <w:t xml:space="preserve"> </w:t>
      </w:r>
      <w:r w:rsidRPr="002046C5">
        <w:rPr>
          <w:color w:val="000000"/>
          <w:szCs w:val="24"/>
          <w:lang w:eastAsia="ru-RU"/>
        </w:rPr>
        <w:t>Resolution 955 (WRC-07) in the CPM Report).</w:t>
      </w:r>
    </w:p>
    <w:p w:rsidR="007160B7" w:rsidRDefault="007160B7" w:rsidP="00C075C0">
      <w:pPr>
        <w:spacing w:after="120"/>
        <w:jc w:val="both"/>
        <w:rPr>
          <w:lang w:val="en-US"/>
        </w:rPr>
      </w:pPr>
    </w:p>
    <w:p w:rsidR="00870479" w:rsidRPr="007160B7" w:rsidRDefault="00870479" w:rsidP="00C075C0">
      <w:pPr>
        <w:jc w:val="both"/>
        <w:rPr>
          <w:b/>
          <w:lang w:val="en-US"/>
        </w:rPr>
      </w:pPr>
    </w:p>
    <w:p w:rsidR="00870479" w:rsidRDefault="00870479" w:rsidP="00C075C0">
      <w:pPr>
        <w:jc w:val="both"/>
        <w:rPr>
          <w:b/>
          <w:i/>
        </w:rPr>
      </w:pPr>
      <w:r>
        <w:rPr>
          <w:b/>
          <w:i/>
        </w:rPr>
        <w:t>International organisations</w:t>
      </w:r>
    </w:p>
    <w:p w:rsidR="002840ED" w:rsidRDefault="002840ED" w:rsidP="002840ED">
      <w:pPr>
        <w:spacing w:before="0"/>
        <w:jc w:val="both"/>
        <w:rPr>
          <w:b/>
          <w:szCs w:val="24"/>
        </w:rPr>
      </w:pPr>
    </w:p>
    <w:p w:rsidR="00870479" w:rsidRDefault="00F81A09" w:rsidP="002840ED">
      <w:pPr>
        <w:spacing w:before="0"/>
        <w:jc w:val="both"/>
        <w:rPr>
          <w:b/>
          <w:szCs w:val="24"/>
        </w:rPr>
      </w:pPr>
      <w:r w:rsidRPr="0012777C">
        <w:rPr>
          <w:b/>
          <w:szCs w:val="24"/>
        </w:rPr>
        <w:t xml:space="preserve">NATO </w:t>
      </w:r>
      <w:r w:rsidR="0012777C" w:rsidRPr="0012777C">
        <w:rPr>
          <w:b/>
          <w:szCs w:val="24"/>
        </w:rPr>
        <w:t>(</w:t>
      </w:r>
      <w:r w:rsidR="00381197">
        <w:rPr>
          <w:b/>
          <w:szCs w:val="24"/>
        </w:rPr>
        <w:t>October 2011</w:t>
      </w:r>
      <w:r w:rsidR="00870479" w:rsidRPr="0012777C">
        <w:rPr>
          <w:b/>
          <w:szCs w:val="24"/>
        </w:rPr>
        <w:t>)</w:t>
      </w:r>
    </w:p>
    <w:p w:rsidR="002840ED" w:rsidRDefault="002840ED" w:rsidP="00C075C0">
      <w:pPr>
        <w:pStyle w:val="Sous-titre1"/>
        <w:spacing w:before="0" w:after="0"/>
        <w:rPr>
          <w:rFonts w:ascii="Times New Roman" w:hAnsi="Times New Roman"/>
          <w:lang w:val="en-GB"/>
        </w:rPr>
      </w:pPr>
    </w:p>
    <w:p w:rsidR="0012777C" w:rsidRPr="0012777C" w:rsidRDefault="0012777C" w:rsidP="002840ED">
      <w:pPr>
        <w:pStyle w:val="Sous-titre1"/>
        <w:spacing w:before="0" w:after="60"/>
        <w:rPr>
          <w:rFonts w:ascii="Times New Roman" w:hAnsi="Times New Roman"/>
          <w:lang w:val="en-GB"/>
        </w:rPr>
      </w:pPr>
      <w:r w:rsidRPr="0012777C">
        <w:rPr>
          <w:rFonts w:ascii="Times New Roman" w:hAnsi="Times New Roman"/>
          <w:lang w:val="en-GB"/>
        </w:rPr>
        <w:t>NATO Military Position</w:t>
      </w:r>
    </w:p>
    <w:tbl>
      <w:tblPr>
        <w:tblW w:w="0" w:type="auto"/>
        <w:tblLook w:val="04A0" w:firstRow="1" w:lastRow="0" w:firstColumn="1" w:lastColumn="0" w:noHBand="0" w:noVBand="1"/>
      </w:tblPr>
      <w:tblGrid>
        <w:gridCol w:w="2513"/>
        <w:gridCol w:w="7342"/>
      </w:tblGrid>
      <w:tr w:rsidR="00381197" w:rsidRPr="00164D24" w:rsidTr="002F11BA">
        <w:tc>
          <w:tcPr>
            <w:tcW w:w="9855" w:type="dxa"/>
            <w:gridSpan w:val="2"/>
          </w:tcPr>
          <w:p w:rsidR="00381197" w:rsidRPr="004011D3" w:rsidRDefault="00381197" w:rsidP="002F11BA">
            <w:pPr>
              <w:tabs>
                <w:tab w:val="clear" w:pos="794"/>
                <w:tab w:val="clear" w:pos="1191"/>
                <w:tab w:val="clear" w:pos="1588"/>
                <w:tab w:val="clear" w:pos="1985"/>
                <w:tab w:val="left" w:pos="851"/>
              </w:tabs>
              <w:overflowPunct/>
              <w:autoSpaceDE/>
              <w:autoSpaceDN/>
              <w:adjustRightInd/>
              <w:spacing w:before="0"/>
              <w:jc w:val="both"/>
              <w:textAlignment w:val="auto"/>
              <w:rPr>
                <w:sz w:val="22"/>
                <w:szCs w:val="22"/>
              </w:rPr>
            </w:pPr>
            <w:r w:rsidRPr="004011D3">
              <w:rPr>
                <w:sz w:val="22"/>
                <w:szCs w:val="22"/>
              </w:rPr>
              <w:t xml:space="preserve">Per Resolution </w:t>
            </w:r>
            <w:r w:rsidRPr="004011D3">
              <w:rPr>
                <w:b/>
                <w:sz w:val="22"/>
                <w:szCs w:val="22"/>
              </w:rPr>
              <w:t>950</w:t>
            </w:r>
            <w:r w:rsidRPr="004011D3">
              <w:rPr>
                <w:sz w:val="22"/>
                <w:szCs w:val="22"/>
              </w:rPr>
              <w:t xml:space="preserve"> NATO supports the modification of footnote No. </w:t>
            </w:r>
            <w:r w:rsidRPr="004011D3">
              <w:rPr>
                <w:b/>
                <w:sz w:val="22"/>
                <w:szCs w:val="22"/>
              </w:rPr>
              <w:t>5.565</w:t>
            </w:r>
            <w:r w:rsidRPr="004011D3">
              <w:rPr>
                <w:sz w:val="22"/>
                <w:szCs w:val="22"/>
              </w:rPr>
              <w:t xml:space="preserve"> without prejudice for active services to include all appropriate bands of interest to </w:t>
            </w:r>
            <w:smartTag w:uri="urn:schemas-microsoft-com:office:smarttags" w:element="stockticker">
              <w:r w:rsidRPr="004011D3">
                <w:rPr>
                  <w:sz w:val="22"/>
                  <w:szCs w:val="22"/>
                </w:rPr>
                <w:t>RAS</w:t>
              </w:r>
            </w:smartTag>
            <w:r w:rsidRPr="004011D3">
              <w:rPr>
                <w:sz w:val="22"/>
                <w:szCs w:val="22"/>
              </w:rPr>
              <w:t xml:space="preserve">, EESS (passive), and </w:t>
            </w:r>
            <w:smartTag w:uri="urn:schemas-microsoft-com:office:smarttags" w:element="stockticker">
              <w:r w:rsidRPr="004011D3">
                <w:rPr>
                  <w:sz w:val="22"/>
                  <w:szCs w:val="22"/>
                </w:rPr>
                <w:t>SRS</w:t>
              </w:r>
            </w:smartTag>
            <w:r w:rsidRPr="004011D3">
              <w:rPr>
                <w:sz w:val="22"/>
                <w:szCs w:val="22"/>
              </w:rPr>
              <w:t xml:space="preserve"> (passive) in the range 275 – 3 000 GHz based upon studies being conducted in Study Group 7.</w:t>
            </w:r>
          </w:p>
          <w:p w:rsidR="00381197" w:rsidRPr="004011D3" w:rsidRDefault="00381197" w:rsidP="002F11BA">
            <w:pPr>
              <w:tabs>
                <w:tab w:val="clear" w:pos="794"/>
                <w:tab w:val="clear" w:pos="1191"/>
                <w:tab w:val="clear" w:pos="1588"/>
                <w:tab w:val="clear" w:pos="1985"/>
                <w:tab w:val="left" w:pos="851"/>
              </w:tabs>
              <w:overflowPunct/>
              <w:autoSpaceDE/>
              <w:autoSpaceDN/>
              <w:adjustRightInd/>
              <w:spacing w:before="0"/>
              <w:jc w:val="both"/>
              <w:textAlignment w:val="auto"/>
              <w:rPr>
                <w:sz w:val="22"/>
                <w:szCs w:val="22"/>
              </w:rPr>
            </w:pPr>
          </w:p>
          <w:p w:rsidR="00381197" w:rsidRPr="004011D3" w:rsidRDefault="00381197" w:rsidP="002F11BA">
            <w:pPr>
              <w:tabs>
                <w:tab w:val="clear" w:pos="794"/>
                <w:tab w:val="clear" w:pos="1191"/>
                <w:tab w:val="clear" w:pos="1588"/>
                <w:tab w:val="clear" w:pos="1985"/>
                <w:tab w:val="left" w:pos="851"/>
              </w:tabs>
              <w:overflowPunct/>
              <w:autoSpaceDE/>
              <w:autoSpaceDN/>
              <w:adjustRightInd/>
              <w:spacing w:before="0"/>
              <w:jc w:val="both"/>
              <w:textAlignment w:val="auto"/>
              <w:rPr>
                <w:sz w:val="22"/>
                <w:szCs w:val="22"/>
              </w:rPr>
            </w:pPr>
            <w:r w:rsidRPr="004011D3">
              <w:rPr>
                <w:sz w:val="22"/>
                <w:szCs w:val="22"/>
              </w:rPr>
              <w:t xml:space="preserve">Additionally, per Resolution </w:t>
            </w:r>
            <w:r w:rsidRPr="004011D3">
              <w:rPr>
                <w:b/>
                <w:sz w:val="22"/>
                <w:szCs w:val="22"/>
              </w:rPr>
              <w:t>955</w:t>
            </w:r>
            <w:r w:rsidRPr="004011D3">
              <w:rPr>
                <w:sz w:val="22"/>
                <w:szCs w:val="22"/>
              </w:rPr>
              <w:t xml:space="preserve"> NATO supports NO Change to the Radio Regulations for free-space optical systems.</w:t>
            </w:r>
          </w:p>
          <w:p w:rsidR="00381197" w:rsidRPr="004011D3" w:rsidRDefault="00381197" w:rsidP="002F11BA">
            <w:pPr>
              <w:tabs>
                <w:tab w:val="clear" w:pos="794"/>
                <w:tab w:val="clear" w:pos="1191"/>
                <w:tab w:val="clear" w:pos="1588"/>
                <w:tab w:val="clear" w:pos="1985"/>
                <w:tab w:val="left" w:pos="851"/>
              </w:tabs>
              <w:overflowPunct/>
              <w:autoSpaceDE/>
              <w:autoSpaceDN/>
              <w:adjustRightInd/>
              <w:spacing w:before="0"/>
              <w:jc w:val="both"/>
              <w:textAlignment w:val="auto"/>
              <w:rPr>
                <w:sz w:val="22"/>
                <w:szCs w:val="22"/>
              </w:rPr>
            </w:pPr>
          </w:p>
          <w:p w:rsidR="00381197" w:rsidRPr="004011D3" w:rsidRDefault="00381197" w:rsidP="002F11BA">
            <w:pPr>
              <w:tabs>
                <w:tab w:val="clear" w:pos="794"/>
                <w:tab w:val="clear" w:pos="1191"/>
                <w:tab w:val="clear" w:pos="1588"/>
                <w:tab w:val="clear" w:pos="1985"/>
                <w:tab w:val="left" w:pos="851"/>
              </w:tabs>
              <w:overflowPunct/>
              <w:autoSpaceDE/>
              <w:autoSpaceDN/>
              <w:adjustRightInd/>
              <w:spacing w:before="0"/>
              <w:jc w:val="both"/>
              <w:textAlignment w:val="auto"/>
              <w:rPr>
                <w:sz w:val="22"/>
                <w:szCs w:val="22"/>
              </w:rPr>
            </w:pPr>
            <w:r w:rsidRPr="004011D3">
              <w:rPr>
                <w:sz w:val="22"/>
                <w:szCs w:val="22"/>
              </w:rPr>
              <w:t>Future development has to be monitored carefully.</w:t>
            </w:r>
          </w:p>
        </w:tc>
      </w:tr>
      <w:tr w:rsidR="00381197" w:rsidRPr="00164D24" w:rsidTr="002F11BA">
        <w:tc>
          <w:tcPr>
            <w:tcW w:w="2513" w:type="dxa"/>
          </w:tcPr>
          <w:p w:rsidR="00381197" w:rsidRPr="004011D3" w:rsidRDefault="00381197" w:rsidP="002F11BA">
            <w:pPr>
              <w:tabs>
                <w:tab w:val="clear" w:pos="794"/>
                <w:tab w:val="clear" w:pos="1191"/>
                <w:tab w:val="clear" w:pos="1588"/>
                <w:tab w:val="clear" w:pos="1985"/>
                <w:tab w:val="left" w:pos="851"/>
              </w:tabs>
              <w:overflowPunct/>
              <w:autoSpaceDE/>
              <w:autoSpaceDN/>
              <w:adjustRightInd/>
              <w:spacing w:before="60" w:after="60"/>
              <w:jc w:val="both"/>
              <w:textAlignment w:val="auto"/>
              <w:rPr>
                <w:b/>
                <w:bCs/>
                <w:sz w:val="22"/>
                <w:szCs w:val="22"/>
              </w:rPr>
            </w:pPr>
            <w:r w:rsidRPr="004011D3">
              <w:rPr>
                <w:b/>
                <w:bCs/>
                <w:sz w:val="22"/>
                <w:szCs w:val="22"/>
              </w:rPr>
              <w:t>Military Importance:</w:t>
            </w:r>
          </w:p>
        </w:tc>
        <w:tc>
          <w:tcPr>
            <w:tcW w:w="7342" w:type="dxa"/>
          </w:tcPr>
          <w:p w:rsidR="00381197" w:rsidRPr="004011D3" w:rsidRDefault="00381197" w:rsidP="002F11BA">
            <w:pPr>
              <w:tabs>
                <w:tab w:val="clear" w:pos="794"/>
                <w:tab w:val="clear" w:pos="1191"/>
                <w:tab w:val="clear" w:pos="1588"/>
                <w:tab w:val="clear" w:pos="1985"/>
                <w:tab w:val="left" w:pos="851"/>
              </w:tabs>
              <w:overflowPunct/>
              <w:autoSpaceDE/>
              <w:autoSpaceDN/>
              <w:adjustRightInd/>
              <w:spacing w:before="60" w:after="60"/>
              <w:jc w:val="both"/>
              <w:textAlignment w:val="auto"/>
              <w:rPr>
                <w:sz w:val="22"/>
                <w:szCs w:val="22"/>
              </w:rPr>
            </w:pPr>
            <w:r w:rsidRPr="004011D3">
              <w:rPr>
                <w:sz w:val="22"/>
                <w:szCs w:val="22"/>
              </w:rPr>
              <w:t>Low</w:t>
            </w:r>
          </w:p>
        </w:tc>
      </w:tr>
    </w:tbl>
    <w:p w:rsidR="00381197" w:rsidRPr="0012777C" w:rsidRDefault="00381197" w:rsidP="00381197">
      <w:pPr>
        <w:pStyle w:val="Sous-titre1"/>
        <w:spacing w:before="0" w:after="0"/>
        <w:rPr>
          <w:rFonts w:ascii="Times New Roman" w:hAnsi="Times New Roman"/>
          <w:lang w:val="en-GB"/>
        </w:rPr>
      </w:pPr>
    </w:p>
    <w:p w:rsidR="0012777C" w:rsidRDefault="0012777C" w:rsidP="00C075C0">
      <w:pPr>
        <w:rPr>
          <w:b/>
        </w:rPr>
      </w:pPr>
    </w:p>
    <w:p w:rsidR="00870479" w:rsidRDefault="00870479" w:rsidP="00C075C0">
      <w:pPr>
        <w:rPr>
          <w:b/>
        </w:rPr>
      </w:pPr>
      <w:r>
        <w:rPr>
          <w:b/>
        </w:rPr>
        <w:t>SFCG (</w:t>
      </w:r>
      <w:proofErr w:type="gramStart"/>
      <w:r w:rsidR="007B7777">
        <w:rPr>
          <w:b/>
        </w:rPr>
        <w:t>Ju</w:t>
      </w:r>
      <w:r w:rsidR="000D0E3C">
        <w:rPr>
          <w:b/>
        </w:rPr>
        <w:t xml:space="preserve">ne </w:t>
      </w:r>
      <w:r w:rsidR="002D71F1">
        <w:rPr>
          <w:b/>
        </w:rPr>
        <w:t xml:space="preserve"> 201</w:t>
      </w:r>
      <w:r w:rsidR="000D0E3C">
        <w:rPr>
          <w:b/>
        </w:rPr>
        <w:t>1</w:t>
      </w:r>
      <w:proofErr w:type="gramEnd"/>
      <w:r>
        <w:rPr>
          <w:b/>
        </w:rPr>
        <w:t>)</w:t>
      </w:r>
    </w:p>
    <w:p w:rsidR="000D0E3C" w:rsidRDefault="00870479" w:rsidP="000D0E3C">
      <w:r w:rsidRPr="00D23325">
        <w:rPr>
          <w:b/>
        </w:rPr>
        <w:t>Resolution 950 (WRC-07</w:t>
      </w:r>
      <w:proofErr w:type="gramStart"/>
      <w:r w:rsidRPr="00D23325">
        <w:rPr>
          <w:b/>
        </w:rPr>
        <w:t xml:space="preserve">) </w:t>
      </w:r>
      <w:r w:rsidRPr="00D23325">
        <w:t>:</w:t>
      </w:r>
      <w:proofErr w:type="gramEnd"/>
    </w:p>
    <w:p w:rsidR="001F517A" w:rsidRDefault="001F517A" w:rsidP="001F517A"/>
    <w:p w:rsidR="001F517A" w:rsidRPr="004257A7" w:rsidRDefault="001F517A" w:rsidP="001F517A">
      <w:r w:rsidRPr="004257A7">
        <w:t>SFCG supports the Method described in the CPM Report.</w:t>
      </w:r>
    </w:p>
    <w:p w:rsidR="001F517A" w:rsidRPr="004257A7" w:rsidRDefault="001F517A" w:rsidP="001F517A">
      <w:r w:rsidRPr="004257A7">
        <w:lastRenderedPageBreak/>
        <w:t xml:space="preserve">SFCG is in favour of revision of RR No. </w:t>
      </w:r>
      <w:r w:rsidRPr="004257A7">
        <w:rPr>
          <w:b/>
        </w:rPr>
        <w:t>5.565</w:t>
      </w:r>
      <w:r w:rsidRPr="004257A7">
        <w:t xml:space="preserve"> to include all appropriate frequency bands within the range 275 to 1 000 GHz to be used by systems belonging to the Earth exploration-satellite (passive), space research (passive) and radio astronomy services in order to protect these bands for scientific applications now and in the future.  SFCG also recognizes that propagation effects in the 1 000-3 000 GHz range are such that passive service and active services can co-exist without limitation.  SFCG also supports inclusion of details in the MIFR on any systems of the science services that use these frequency bands and encourages member agencies to submit such information to the ITU-R Radiocommunication Bureau.</w:t>
      </w:r>
    </w:p>
    <w:p w:rsidR="000D0E3C" w:rsidRPr="004257A7" w:rsidRDefault="00870479" w:rsidP="000D0E3C">
      <w:r w:rsidRPr="00D23325">
        <w:rPr>
          <w:b/>
        </w:rPr>
        <w:t xml:space="preserve">Resolution 955 (WRC-07) </w:t>
      </w:r>
      <w:r w:rsidR="000D0E3C" w:rsidRPr="004257A7">
        <w:t xml:space="preserve">SFCG supports the Method in the CPM Report, which makes no change to RR (NOC). </w:t>
      </w:r>
      <w:r w:rsidR="000D0E3C">
        <w:t xml:space="preserve"> </w:t>
      </w:r>
      <w:r w:rsidR="000D0E3C" w:rsidRPr="004257A7">
        <w:t>SFCG is in favour of continued unregulated use of satellite optical links.</w:t>
      </w:r>
    </w:p>
    <w:p w:rsidR="002D71F1" w:rsidRPr="00D23325" w:rsidRDefault="002D71F1" w:rsidP="00C075C0"/>
    <w:p w:rsidR="00870479" w:rsidRPr="00D23325" w:rsidRDefault="00870479" w:rsidP="00C075C0">
      <w:pPr>
        <w:rPr>
          <w:b/>
        </w:rPr>
      </w:pPr>
    </w:p>
    <w:p w:rsidR="00870479" w:rsidRPr="00D23325" w:rsidRDefault="00870479" w:rsidP="00C075C0">
      <w:pPr>
        <w:rPr>
          <w:b/>
        </w:rPr>
      </w:pPr>
      <w:r w:rsidRPr="00D23325">
        <w:rPr>
          <w:b/>
        </w:rPr>
        <w:t>WMO (</w:t>
      </w:r>
      <w:r w:rsidR="0035341A">
        <w:rPr>
          <w:b/>
        </w:rPr>
        <w:t>October</w:t>
      </w:r>
      <w:r w:rsidR="00263AB1">
        <w:rPr>
          <w:b/>
        </w:rPr>
        <w:t xml:space="preserve"> 2011</w:t>
      </w:r>
      <w:r w:rsidRPr="00D23325">
        <w:rPr>
          <w:b/>
        </w:rPr>
        <w:t>)</w:t>
      </w:r>
    </w:p>
    <w:p w:rsidR="0035341A" w:rsidRPr="00955913" w:rsidRDefault="0035341A" w:rsidP="0035341A">
      <w:pPr>
        <w:jc w:val="both"/>
      </w:pPr>
      <w:r w:rsidRPr="00955913">
        <w:t>Under Resolution</w:t>
      </w:r>
      <w:r w:rsidRPr="000C77C9">
        <w:rPr>
          <w:szCs w:val="24"/>
        </w:rPr>
        <w:t> </w:t>
      </w:r>
      <w:r w:rsidRPr="00955913">
        <w:t>950</w:t>
      </w:r>
      <w:r w:rsidRPr="000C77C9">
        <w:rPr>
          <w:szCs w:val="24"/>
        </w:rPr>
        <w:t> </w:t>
      </w:r>
      <w:r w:rsidRPr="00955913">
        <w:t>(WRC-07), WMO confirms the high interest and importance of bands above 275</w:t>
      </w:r>
      <w:r w:rsidRPr="000C77C9">
        <w:rPr>
          <w:lang w:eastAsia="ja-JP"/>
        </w:rPr>
        <w:t> </w:t>
      </w:r>
      <w:r w:rsidRPr="00955913">
        <w:t xml:space="preserve">GHz for meteorology, climatology and environmental activities and supports the review and update of spectrum use by EESS to allow early assessment of meteorological next generation equipment. To this respect, WMO supports the outcomes of Report </w:t>
      </w:r>
      <w:r w:rsidRPr="00955913">
        <w:br/>
        <w:t>ITU-R</w:t>
      </w:r>
      <w:r w:rsidRPr="000C77C9">
        <w:rPr>
          <w:szCs w:val="24"/>
        </w:rPr>
        <w:t> </w:t>
      </w:r>
      <w:r w:rsidRPr="00955913">
        <w:t>RS.2194 and the Method in the CPM Report as a basis for RR No. 5.565 revision.</w:t>
      </w:r>
    </w:p>
    <w:p w:rsidR="0035341A" w:rsidRPr="00955913" w:rsidRDefault="0035341A" w:rsidP="0035341A">
      <w:pPr>
        <w:jc w:val="both"/>
      </w:pPr>
      <w:r w:rsidRPr="00955913">
        <w:t>Under Resolution</w:t>
      </w:r>
      <w:r w:rsidRPr="000C77C9">
        <w:rPr>
          <w:szCs w:val="24"/>
        </w:rPr>
        <w:t> </w:t>
      </w:r>
      <w:r w:rsidRPr="00955913">
        <w:t>955</w:t>
      </w:r>
      <w:r w:rsidRPr="000C77C9">
        <w:rPr>
          <w:szCs w:val="24"/>
        </w:rPr>
        <w:t> </w:t>
      </w:r>
      <w:r w:rsidRPr="00955913">
        <w:t>(WRC-07), WMO does not support any modification to the Radio Regulations.</w:t>
      </w:r>
    </w:p>
    <w:p w:rsidR="0035341A" w:rsidRDefault="0035341A" w:rsidP="00263AB1">
      <w:pPr>
        <w:jc w:val="both"/>
        <w:rPr>
          <w:szCs w:val="22"/>
        </w:rPr>
      </w:pPr>
    </w:p>
    <w:p w:rsidR="0035341A" w:rsidRDefault="0035341A" w:rsidP="00263AB1">
      <w:pPr>
        <w:jc w:val="both"/>
        <w:rPr>
          <w:szCs w:val="22"/>
        </w:rPr>
      </w:pPr>
    </w:p>
    <w:p w:rsidR="00870479" w:rsidRPr="00D23325" w:rsidRDefault="00870479" w:rsidP="00C075C0">
      <w:pPr>
        <w:rPr>
          <w:b/>
        </w:rPr>
      </w:pPr>
    </w:p>
    <w:p w:rsidR="00870479" w:rsidRPr="00D23325" w:rsidRDefault="00870479" w:rsidP="00C075C0">
      <w:pPr>
        <w:rPr>
          <w:b/>
          <w:i/>
        </w:rPr>
      </w:pPr>
      <w:r w:rsidRPr="00D23325">
        <w:rPr>
          <w:b/>
          <w:i/>
        </w:rPr>
        <w:t>Regional organisations</w:t>
      </w:r>
    </w:p>
    <w:p w:rsidR="00870479" w:rsidRPr="00D23325" w:rsidRDefault="00870479" w:rsidP="00C075C0">
      <w:pPr>
        <w:rPr>
          <w:b/>
        </w:rPr>
      </w:pPr>
      <w:r w:rsidRPr="00D23325">
        <w:rPr>
          <w:b/>
        </w:rPr>
        <w:t>ESA (</w:t>
      </w:r>
      <w:r w:rsidR="00050BC4" w:rsidRPr="00D23325">
        <w:rPr>
          <w:b/>
        </w:rPr>
        <w:t>Sept 2010</w:t>
      </w:r>
      <w:r w:rsidRPr="00D23325">
        <w:rPr>
          <w:b/>
        </w:rPr>
        <w:t>)</w:t>
      </w:r>
    </w:p>
    <w:p w:rsidR="00870479" w:rsidRPr="00D23325" w:rsidRDefault="00870479" w:rsidP="00C075C0">
      <w:r w:rsidRPr="00D23325">
        <w:t>Consistent with SFCG position</w:t>
      </w:r>
    </w:p>
    <w:p w:rsidR="0079636A" w:rsidRPr="00D23325" w:rsidRDefault="0079636A" w:rsidP="0079636A">
      <w:pPr>
        <w:rPr>
          <w:b/>
        </w:rPr>
      </w:pPr>
    </w:p>
    <w:p w:rsidR="0079636A" w:rsidRPr="00D23325" w:rsidRDefault="0079636A" w:rsidP="0079636A">
      <w:pPr>
        <w:rPr>
          <w:b/>
        </w:rPr>
      </w:pPr>
      <w:r w:rsidRPr="00D23325">
        <w:rPr>
          <w:b/>
        </w:rPr>
        <w:t>EUMETSAT (Sept 2010)</w:t>
      </w:r>
    </w:p>
    <w:p w:rsidR="0079636A" w:rsidRPr="00D23325" w:rsidRDefault="0079636A" w:rsidP="0079636A">
      <w:r w:rsidRPr="00D23325">
        <w:t>Consistent with SFCG and WMO positions</w:t>
      </w:r>
    </w:p>
    <w:p w:rsidR="0079636A" w:rsidRPr="00D23325" w:rsidRDefault="0079636A" w:rsidP="00C075C0">
      <w:pPr>
        <w:rPr>
          <w:b/>
        </w:rPr>
      </w:pPr>
    </w:p>
    <w:p w:rsidR="00870479" w:rsidRPr="00D23325" w:rsidRDefault="00870479" w:rsidP="00C075C0">
      <w:pPr>
        <w:rPr>
          <w:b/>
        </w:rPr>
      </w:pPr>
      <w:r w:rsidRPr="00D23325">
        <w:rPr>
          <w:b/>
        </w:rPr>
        <w:t>EUMETNET (</w:t>
      </w:r>
      <w:r w:rsidR="0035341A">
        <w:rPr>
          <w:b/>
        </w:rPr>
        <w:t>October</w:t>
      </w:r>
      <w:r w:rsidR="00263AB1">
        <w:rPr>
          <w:b/>
        </w:rPr>
        <w:t xml:space="preserve"> 2011</w:t>
      </w:r>
      <w:r w:rsidRPr="00D23325">
        <w:rPr>
          <w:b/>
        </w:rPr>
        <w:t>)</w:t>
      </w:r>
    </w:p>
    <w:p w:rsidR="00870479" w:rsidRDefault="00870479" w:rsidP="00C075C0">
      <w:r w:rsidRPr="00D23325">
        <w:t>Consistent with WMO position</w:t>
      </w:r>
    </w:p>
    <w:p w:rsidR="00381197" w:rsidRDefault="00381197" w:rsidP="00381197">
      <w:pPr>
        <w:rPr>
          <w:b/>
        </w:rPr>
      </w:pPr>
    </w:p>
    <w:p w:rsidR="00381197" w:rsidRPr="00677340" w:rsidRDefault="00381197" w:rsidP="00381197">
      <w:pPr>
        <w:rPr>
          <w:b/>
        </w:rPr>
      </w:pPr>
      <w:r>
        <w:rPr>
          <w:b/>
        </w:rPr>
        <w:t>CRAF (October 2011)</w:t>
      </w:r>
    </w:p>
    <w:p w:rsidR="00381197" w:rsidRPr="004011D3" w:rsidRDefault="00381197" w:rsidP="00381197">
      <w:r w:rsidRPr="004011D3">
        <w:t>[Res 950] CRAF supports the proposed revision of RR footnote 5.565 including modified lists of frequency bands for the RAS, EESS and SRS as developed in the current CPM text.</w:t>
      </w:r>
    </w:p>
    <w:p w:rsidR="00381197" w:rsidRPr="004011D3" w:rsidRDefault="00381197" w:rsidP="00381197">
      <w:r w:rsidRPr="004011D3">
        <w:t>[Res 955] CRAF supports the suppression of this resolution.</w:t>
      </w:r>
      <w:bookmarkStart w:id="4" w:name="_GoBack"/>
      <w:bookmarkEnd w:id="4"/>
    </w:p>
    <w:sectPr w:rsidR="00381197" w:rsidRPr="004011D3" w:rsidSect="00103096">
      <w:footerReference w:type="default" r:id="rId8"/>
      <w:footerReference w:type="first" r:id="rId9"/>
      <w:pgSz w:w="11907" w:h="16834" w:code="9"/>
      <w:pgMar w:top="1418" w:right="1134" w:bottom="1418" w:left="1134" w:header="567" w:footer="567" w:gutter="0"/>
      <w:paperSrc w:first="15" w:other="15"/>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598" w:rsidRDefault="004B1598">
      <w:r>
        <w:separator/>
      </w:r>
    </w:p>
  </w:endnote>
  <w:endnote w:type="continuationSeparator" w:id="0">
    <w:p w:rsidR="004B1598" w:rsidRDefault="004B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5FA" w:rsidRDefault="000325FA" w:rsidP="00CE2022">
    <w:pPr>
      <w:pStyle w:val="Pieddepage"/>
      <w:jc w:val="center"/>
    </w:pPr>
    <w:r>
      <w:t xml:space="preserve">- </w:t>
    </w:r>
    <w:r w:rsidR="00420253">
      <w:fldChar w:fldCharType="begin"/>
    </w:r>
    <w:r>
      <w:instrText xml:space="preserve"> PAGE </w:instrText>
    </w:r>
    <w:r w:rsidR="00420253">
      <w:fldChar w:fldCharType="separate"/>
    </w:r>
    <w:r w:rsidR="0017754D">
      <w:rPr>
        <w:noProof/>
      </w:rPr>
      <w:t>2</w:t>
    </w:r>
    <w:r w:rsidR="00420253">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5FA" w:rsidRDefault="000325FA">
    <w:pPr>
      <w:pStyle w:val="Pieddepage"/>
      <w:tabs>
        <w:tab w:val="clear" w:pos="5954"/>
        <w:tab w:val="left" w:pos="4253"/>
      </w:tabs>
    </w:pPr>
    <w:r w:rsidRPr="00554A31">
      <w:tab/>
      <w:t xml:space="preserve">- </w:t>
    </w:r>
    <w:r w:rsidR="00420253" w:rsidRPr="00554A31">
      <w:fldChar w:fldCharType="begin"/>
    </w:r>
    <w:r w:rsidRPr="00554A31">
      <w:instrText xml:space="preserve"> PAGE </w:instrText>
    </w:r>
    <w:r w:rsidR="00420253" w:rsidRPr="00554A31">
      <w:fldChar w:fldCharType="separate"/>
    </w:r>
    <w:r w:rsidR="0017754D">
      <w:rPr>
        <w:noProof/>
      </w:rPr>
      <w:t>1</w:t>
    </w:r>
    <w:r w:rsidR="00420253" w:rsidRPr="00554A31">
      <w:fldChar w:fldCharType="end"/>
    </w:r>
    <w:r w:rsidRPr="00554A31">
      <w:t xml:space="preserve"> -</w: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598" w:rsidRDefault="004B1598">
      <w:r>
        <w:separator/>
      </w:r>
    </w:p>
  </w:footnote>
  <w:footnote w:type="continuationSeparator" w:id="0">
    <w:p w:rsidR="004B1598" w:rsidRDefault="004B15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3E25"/>
    <w:multiLevelType w:val="hybridMultilevel"/>
    <w:tmpl w:val="0C5C7914"/>
    <w:lvl w:ilvl="0" w:tplc="50E864F2">
      <w:start w:val="1"/>
      <w:numFmt w:val="lowerLetter"/>
      <w:lvlText w:val="%1)"/>
      <w:lvlJc w:val="left"/>
      <w:pPr>
        <w:tabs>
          <w:tab w:val="num" w:pos="1440"/>
        </w:tabs>
        <w:ind w:left="1440" w:hanging="360"/>
      </w:pPr>
      <w:rPr>
        <w:rFonts w:hint="default"/>
        <w:b w:val="0"/>
      </w:rPr>
    </w:lvl>
    <w:lvl w:ilvl="1" w:tplc="0DDE4D8A">
      <w:start w:val="1"/>
      <w:numFmt w:val="upperRoman"/>
      <w:lvlText w:val="%2."/>
      <w:lvlJc w:val="right"/>
      <w:pPr>
        <w:tabs>
          <w:tab w:val="num" w:pos="2056"/>
        </w:tabs>
        <w:ind w:left="2056" w:hanging="180"/>
      </w:pPr>
      <w:rPr>
        <w:rFonts w:hint="default"/>
        <w:sz w:val="24"/>
        <w:szCs w:val="24"/>
      </w:rPr>
    </w:lvl>
    <w:lvl w:ilvl="2" w:tplc="0816001B">
      <w:start w:val="1"/>
      <w:numFmt w:val="lowerRoman"/>
      <w:lvlText w:val="%3."/>
      <w:lvlJc w:val="right"/>
      <w:pPr>
        <w:tabs>
          <w:tab w:val="num" w:pos="2956"/>
        </w:tabs>
        <w:ind w:left="2956" w:hanging="180"/>
      </w:pPr>
    </w:lvl>
    <w:lvl w:ilvl="3" w:tplc="0816000F" w:tentative="1">
      <w:start w:val="1"/>
      <w:numFmt w:val="decimal"/>
      <w:lvlText w:val="%4."/>
      <w:lvlJc w:val="left"/>
      <w:pPr>
        <w:tabs>
          <w:tab w:val="num" w:pos="3676"/>
        </w:tabs>
        <w:ind w:left="3676" w:hanging="360"/>
      </w:pPr>
    </w:lvl>
    <w:lvl w:ilvl="4" w:tplc="08160019" w:tentative="1">
      <w:start w:val="1"/>
      <w:numFmt w:val="lowerLetter"/>
      <w:lvlText w:val="%5."/>
      <w:lvlJc w:val="left"/>
      <w:pPr>
        <w:tabs>
          <w:tab w:val="num" w:pos="4396"/>
        </w:tabs>
        <w:ind w:left="4396" w:hanging="360"/>
      </w:pPr>
    </w:lvl>
    <w:lvl w:ilvl="5" w:tplc="0816001B" w:tentative="1">
      <w:start w:val="1"/>
      <w:numFmt w:val="lowerRoman"/>
      <w:lvlText w:val="%6."/>
      <w:lvlJc w:val="right"/>
      <w:pPr>
        <w:tabs>
          <w:tab w:val="num" w:pos="5116"/>
        </w:tabs>
        <w:ind w:left="5116" w:hanging="180"/>
      </w:pPr>
    </w:lvl>
    <w:lvl w:ilvl="6" w:tplc="0816000F" w:tentative="1">
      <w:start w:val="1"/>
      <w:numFmt w:val="decimal"/>
      <w:lvlText w:val="%7."/>
      <w:lvlJc w:val="left"/>
      <w:pPr>
        <w:tabs>
          <w:tab w:val="num" w:pos="5836"/>
        </w:tabs>
        <w:ind w:left="5836" w:hanging="360"/>
      </w:pPr>
    </w:lvl>
    <w:lvl w:ilvl="7" w:tplc="08160019" w:tentative="1">
      <w:start w:val="1"/>
      <w:numFmt w:val="lowerLetter"/>
      <w:lvlText w:val="%8."/>
      <w:lvlJc w:val="left"/>
      <w:pPr>
        <w:tabs>
          <w:tab w:val="num" w:pos="6556"/>
        </w:tabs>
        <w:ind w:left="6556" w:hanging="360"/>
      </w:pPr>
    </w:lvl>
    <w:lvl w:ilvl="8" w:tplc="0816001B" w:tentative="1">
      <w:start w:val="1"/>
      <w:numFmt w:val="lowerRoman"/>
      <w:lvlText w:val="%9."/>
      <w:lvlJc w:val="right"/>
      <w:pPr>
        <w:tabs>
          <w:tab w:val="num" w:pos="7276"/>
        </w:tabs>
        <w:ind w:left="7276" w:hanging="180"/>
      </w:pPr>
    </w:lvl>
  </w:abstractNum>
  <w:abstractNum w:abstractNumId="1">
    <w:nsid w:val="19341844"/>
    <w:multiLevelType w:val="hybridMultilevel"/>
    <w:tmpl w:val="375626C2"/>
    <w:lvl w:ilvl="0" w:tplc="659CA110">
      <w:start w:val="1"/>
      <w:numFmt w:val="bullet"/>
      <w:lvlText w:val=""/>
      <w:lvlJc w:val="left"/>
      <w:pPr>
        <w:tabs>
          <w:tab w:val="num" w:pos="720"/>
        </w:tabs>
        <w:ind w:left="720" w:hanging="360"/>
      </w:pPr>
      <w:rPr>
        <w:rFonts w:ascii="Wingdings 2" w:hAnsi="Wingdings 2" w:hint="default"/>
      </w:rPr>
    </w:lvl>
    <w:lvl w:ilvl="1" w:tplc="90A207F6">
      <w:start w:val="1"/>
      <w:numFmt w:val="bullet"/>
      <w:lvlText w:val=""/>
      <w:lvlJc w:val="left"/>
      <w:pPr>
        <w:tabs>
          <w:tab w:val="num" w:pos="1440"/>
        </w:tabs>
        <w:ind w:left="1440" w:hanging="360"/>
      </w:pPr>
      <w:rPr>
        <w:rFonts w:ascii="Wingdings 2" w:hAnsi="Wingdings 2" w:hint="default"/>
      </w:rPr>
    </w:lvl>
    <w:lvl w:ilvl="2" w:tplc="EBCEE1AC" w:tentative="1">
      <w:start w:val="1"/>
      <w:numFmt w:val="bullet"/>
      <w:lvlText w:val=""/>
      <w:lvlJc w:val="left"/>
      <w:pPr>
        <w:tabs>
          <w:tab w:val="num" w:pos="2160"/>
        </w:tabs>
        <w:ind w:left="2160" w:hanging="360"/>
      </w:pPr>
      <w:rPr>
        <w:rFonts w:ascii="Wingdings 2" w:hAnsi="Wingdings 2" w:hint="default"/>
      </w:rPr>
    </w:lvl>
    <w:lvl w:ilvl="3" w:tplc="112AFFE2" w:tentative="1">
      <w:start w:val="1"/>
      <w:numFmt w:val="bullet"/>
      <w:lvlText w:val=""/>
      <w:lvlJc w:val="left"/>
      <w:pPr>
        <w:tabs>
          <w:tab w:val="num" w:pos="2880"/>
        </w:tabs>
        <w:ind w:left="2880" w:hanging="360"/>
      </w:pPr>
      <w:rPr>
        <w:rFonts w:ascii="Wingdings 2" w:hAnsi="Wingdings 2" w:hint="default"/>
      </w:rPr>
    </w:lvl>
    <w:lvl w:ilvl="4" w:tplc="339C5B62" w:tentative="1">
      <w:start w:val="1"/>
      <w:numFmt w:val="bullet"/>
      <w:lvlText w:val=""/>
      <w:lvlJc w:val="left"/>
      <w:pPr>
        <w:tabs>
          <w:tab w:val="num" w:pos="3600"/>
        </w:tabs>
        <w:ind w:left="3600" w:hanging="360"/>
      </w:pPr>
      <w:rPr>
        <w:rFonts w:ascii="Wingdings 2" w:hAnsi="Wingdings 2" w:hint="default"/>
      </w:rPr>
    </w:lvl>
    <w:lvl w:ilvl="5" w:tplc="361ADB7E" w:tentative="1">
      <w:start w:val="1"/>
      <w:numFmt w:val="bullet"/>
      <w:lvlText w:val=""/>
      <w:lvlJc w:val="left"/>
      <w:pPr>
        <w:tabs>
          <w:tab w:val="num" w:pos="4320"/>
        </w:tabs>
        <w:ind w:left="4320" w:hanging="360"/>
      </w:pPr>
      <w:rPr>
        <w:rFonts w:ascii="Wingdings 2" w:hAnsi="Wingdings 2" w:hint="default"/>
      </w:rPr>
    </w:lvl>
    <w:lvl w:ilvl="6" w:tplc="26CA7294" w:tentative="1">
      <w:start w:val="1"/>
      <w:numFmt w:val="bullet"/>
      <w:lvlText w:val=""/>
      <w:lvlJc w:val="left"/>
      <w:pPr>
        <w:tabs>
          <w:tab w:val="num" w:pos="5040"/>
        </w:tabs>
        <w:ind w:left="5040" w:hanging="360"/>
      </w:pPr>
      <w:rPr>
        <w:rFonts w:ascii="Wingdings 2" w:hAnsi="Wingdings 2" w:hint="default"/>
      </w:rPr>
    </w:lvl>
    <w:lvl w:ilvl="7" w:tplc="0E78683C" w:tentative="1">
      <w:start w:val="1"/>
      <w:numFmt w:val="bullet"/>
      <w:lvlText w:val=""/>
      <w:lvlJc w:val="left"/>
      <w:pPr>
        <w:tabs>
          <w:tab w:val="num" w:pos="5760"/>
        </w:tabs>
        <w:ind w:left="5760" w:hanging="360"/>
      </w:pPr>
      <w:rPr>
        <w:rFonts w:ascii="Wingdings 2" w:hAnsi="Wingdings 2" w:hint="default"/>
      </w:rPr>
    </w:lvl>
    <w:lvl w:ilvl="8" w:tplc="5BD67826" w:tentative="1">
      <w:start w:val="1"/>
      <w:numFmt w:val="bullet"/>
      <w:lvlText w:val=""/>
      <w:lvlJc w:val="left"/>
      <w:pPr>
        <w:tabs>
          <w:tab w:val="num" w:pos="6480"/>
        </w:tabs>
        <w:ind w:left="6480" w:hanging="360"/>
      </w:pPr>
      <w:rPr>
        <w:rFonts w:ascii="Wingdings 2" w:hAnsi="Wingdings 2" w:hint="default"/>
      </w:rPr>
    </w:lvl>
  </w:abstractNum>
  <w:abstractNum w:abstractNumId="2">
    <w:nsid w:val="22332DC5"/>
    <w:multiLevelType w:val="hybridMultilevel"/>
    <w:tmpl w:val="5052E432"/>
    <w:lvl w:ilvl="0" w:tplc="0413000B">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2A287E97"/>
    <w:multiLevelType w:val="hybridMultilevel"/>
    <w:tmpl w:val="C3E23016"/>
    <w:lvl w:ilvl="0" w:tplc="040C0011">
      <w:start w:val="1"/>
      <w:numFmt w:val="decimal"/>
      <w:lvlText w:val="%1)"/>
      <w:lvlJc w:val="left"/>
      <w:pPr>
        <w:tabs>
          <w:tab w:val="num" w:pos="720"/>
        </w:tabs>
        <w:ind w:left="720" w:hanging="360"/>
      </w:pPr>
      <w:rPr>
        <w:rFonts w:hint="default"/>
        <w:color w:val="auto"/>
      </w:rPr>
    </w:lvl>
    <w:lvl w:ilvl="1" w:tplc="3C46AD0C">
      <w:numFmt w:val="bullet"/>
      <w:lvlText w:val="-"/>
      <w:lvlJc w:val="left"/>
      <w:pPr>
        <w:tabs>
          <w:tab w:val="num" w:pos="1875"/>
        </w:tabs>
        <w:ind w:left="1875" w:hanging="795"/>
      </w:pPr>
      <w:rPr>
        <w:rFonts w:ascii="Times New Roman" w:eastAsia="Times New Roman" w:hAnsi="Times New Roman" w:cs="Times New Roman" w:hint="default"/>
      </w:r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2EE70A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nsid w:val="35F24F4B"/>
    <w:multiLevelType w:val="hybridMultilevel"/>
    <w:tmpl w:val="67ACD16C"/>
    <w:lvl w:ilvl="0" w:tplc="B082E91E">
      <w:start w:val="1"/>
      <w:numFmt w:val="bullet"/>
      <w:lvlText w:val="•"/>
      <w:lvlJc w:val="left"/>
      <w:pPr>
        <w:tabs>
          <w:tab w:val="num" w:pos="720"/>
        </w:tabs>
        <w:ind w:left="720" w:hanging="360"/>
      </w:pPr>
      <w:rPr>
        <w:rFonts w:ascii="Times New Roman" w:hAnsi="Times New Roman" w:hint="default"/>
      </w:rPr>
    </w:lvl>
    <w:lvl w:ilvl="1" w:tplc="A4D28FC6">
      <w:start w:val="171"/>
      <w:numFmt w:val="bullet"/>
      <w:lvlText w:val="–"/>
      <w:lvlJc w:val="left"/>
      <w:pPr>
        <w:tabs>
          <w:tab w:val="num" w:pos="1440"/>
        </w:tabs>
        <w:ind w:left="1440" w:hanging="360"/>
      </w:pPr>
      <w:rPr>
        <w:rFonts w:ascii="Times New Roman" w:hAnsi="Times New Roman" w:hint="default"/>
      </w:rPr>
    </w:lvl>
    <w:lvl w:ilvl="2" w:tplc="194C029A">
      <w:start w:val="1"/>
      <w:numFmt w:val="lowerLetter"/>
      <w:lvlText w:val="%3)"/>
      <w:lvlJc w:val="left"/>
      <w:pPr>
        <w:tabs>
          <w:tab w:val="num" w:pos="2160"/>
        </w:tabs>
        <w:ind w:left="2160" w:hanging="360"/>
      </w:pPr>
    </w:lvl>
    <w:lvl w:ilvl="3" w:tplc="325A098E" w:tentative="1">
      <w:start w:val="1"/>
      <w:numFmt w:val="bullet"/>
      <w:lvlText w:val="•"/>
      <w:lvlJc w:val="left"/>
      <w:pPr>
        <w:tabs>
          <w:tab w:val="num" w:pos="2880"/>
        </w:tabs>
        <w:ind w:left="2880" w:hanging="360"/>
      </w:pPr>
      <w:rPr>
        <w:rFonts w:ascii="Times New Roman" w:hAnsi="Times New Roman" w:hint="default"/>
      </w:rPr>
    </w:lvl>
    <w:lvl w:ilvl="4" w:tplc="0FEC15A8" w:tentative="1">
      <w:start w:val="1"/>
      <w:numFmt w:val="bullet"/>
      <w:lvlText w:val="•"/>
      <w:lvlJc w:val="left"/>
      <w:pPr>
        <w:tabs>
          <w:tab w:val="num" w:pos="3600"/>
        </w:tabs>
        <w:ind w:left="3600" w:hanging="360"/>
      </w:pPr>
      <w:rPr>
        <w:rFonts w:ascii="Times New Roman" w:hAnsi="Times New Roman" w:hint="default"/>
      </w:rPr>
    </w:lvl>
    <w:lvl w:ilvl="5" w:tplc="2C949D6A" w:tentative="1">
      <w:start w:val="1"/>
      <w:numFmt w:val="bullet"/>
      <w:lvlText w:val="•"/>
      <w:lvlJc w:val="left"/>
      <w:pPr>
        <w:tabs>
          <w:tab w:val="num" w:pos="4320"/>
        </w:tabs>
        <w:ind w:left="4320" w:hanging="360"/>
      </w:pPr>
      <w:rPr>
        <w:rFonts w:ascii="Times New Roman" w:hAnsi="Times New Roman" w:hint="default"/>
      </w:rPr>
    </w:lvl>
    <w:lvl w:ilvl="6" w:tplc="8FECEAC4" w:tentative="1">
      <w:start w:val="1"/>
      <w:numFmt w:val="bullet"/>
      <w:lvlText w:val="•"/>
      <w:lvlJc w:val="left"/>
      <w:pPr>
        <w:tabs>
          <w:tab w:val="num" w:pos="5040"/>
        </w:tabs>
        <w:ind w:left="5040" w:hanging="360"/>
      </w:pPr>
      <w:rPr>
        <w:rFonts w:ascii="Times New Roman" w:hAnsi="Times New Roman" w:hint="default"/>
      </w:rPr>
    </w:lvl>
    <w:lvl w:ilvl="7" w:tplc="F710D3C4" w:tentative="1">
      <w:start w:val="1"/>
      <w:numFmt w:val="bullet"/>
      <w:lvlText w:val="•"/>
      <w:lvlJc w:val="left"/>
      <w:pPr>
        <w:tabs>
          <w:tab w:val="num" w:pos="5760"/>
        </w:tabs>
        <w:ind w:left="5760" w:hanging="360"/>
      </w:pPr>
      <w:rPr>
        <w:rFonts w:ascii="Times New Roman" w:hAnsi="Times New Roman" w:hint="default"/>
      </w:rPr>
    </w:lvl>
    <w:lvl w:ilvl="8" w:tplc="C4D834C6" w:tentative="1">
      <w:start w:val="1"/>
      <w:numFmt w:val="bullet"/>
      <w:lvlText w:val="•"/>
      <w:lvlJc w:val="left"/>
      <w:pPr>
        <w:tabs>
          <w:tab w:val="num" w:pos="6480"/>
        </w:tabs>
        <w:ind w:left="6480" w:hanging="360"/>
      </w:pPr>
      <w:rPr>
        <w:rFonts w:ascii="Times New Roman" w:hAnsi="Times New Roman" w:hint="default"/>
      </w:rPr>
    </w:lvl>
  </w:abstractNum>
  <w:abstractNum w:abstractNumId="6">
    <w:nsid w:val="38461340"/>
    <w:multiLevelType w:val="singleLevel"/>
    <w:tmpl w:val="08090001"/>
    <w:lvl w:ilvl="0">
      <w:start w:val="1"/>
      <w:numFmt w:val="bullet"/>
      <w:lvlText w:val=""/>
      <w:lvlJc w:val="left"/>
      <w:pPr>
        <w:tabs>
          <w:tab w:val="num" w:pos="720"/>
        </w:tabs>
        <w:ind w:left="720" w:hanging="360"/>
      </w:pPr>
      <w:rPr>
        <w:rFonts w:ascii="Symbol" w:hAnsi="Symbol" w:hint="default"/>
      </w:rPr>
    </w:lvl>
  </w:abstractNum>
  <w:abstractNum w:abstractNumId="7">
    <w:nsid w:val="39273EDE"/>
    <w:multiLevelType w:val="hybridMultilevel"/>
    <w:tmpl w:val="FEBE691C"/>
    <w:lvl w:ilvl="0" w:tplc="EE1E98F6">
      <w:start w:val="1"/>
      <w:numFmt w:val="bullet"/>
      <w:lvlText w:val="•"/>
      <w:lvlJc w:val="left"/>
      <w:pPr>
        <w:tabs>
          <w:tab w:val="num" w:pos="720"/>
        </w:tabs>
        <w:ind w:left="720" w:hanging="360"/>
      </w:pPr>
      <w:rPr>
        <w:rFonts w:ascii="Arial" w:hAnsi="Arial" w:hint="default"/>
      </w:rPr>
    </w:lvl>
    <w:lvl w:ilvl="1" w:tplc="81447538" w:tentative="1">
      <w:start w:val="1"/>
      <w:numFmt w:val="bullet"/>
      <w:lvlText w:val="•"/>
      <w:lvlJc w:val="left"/>
      <w:pPr>
        <w:tabs>
          <w:tab w:val="num" w:pos="1440"/>
        </w:tabs>
        <w:ind w:left="1440" w:hanging="360"/>
      </w:pPr>
      <w:rPr>
        <w:rFonts w:ascii="Arial" w:hAnsi="Arial" w:hint="default"/>
      </w:rPr>
    </w:lvl>
    <w:lvl w:ilvl="2" w:tplc="58A04A12" w:tentative="1">
      <w:start w:val="1"/>
      <w:numFmt w:val="bullet"/>
      <w:lvlText w:val="•"/>
      <w:lvlJc w:val="left"/>
      <w:pPr>
        <w:tabs>
          <w:tab w:val="num" w:pos="2160"/>
        </w:tabs>
        <w:ind w:left="2160" w:hanging="360"/>
      </w:pPr>
      <w:rPr>
        <w:rFonts w:ascii="Arial" w:hAnsi="Arial" w:hint="default"/>
      </w:rPr>
    </w:lvl>
    <w:lvl w:ilvl="3" w:tplc="0A7A7036" w:tentative="1">
      <w:start w:val="1"/>
      <w:numFmt w:val="bullet"/>
      <w:lvlText w:val="•"/>
      <w:lvlJc w:val="left"/>
      <w:pPr>
        <w:tabs>
          <w:tab w:val="num" w:pos="2880"/>
        </w:tabs>
        <w:ind w:left="2880" w:hanging="360"/>
      </w:pPr>
      <w:rPr>
        <w:rFonts w:ascii="Arial" w:hAnsi="Arial" w:hint="default"/>
      </w:rPr>
    </w:lvl>
    <w:lvl w:ilvl="4" w:tplc="3434055E" w:tentative="1">
      <w:start w:val="1"/>
      <w:numFmt w:val="bullet"/>
      <w:lvlText w:val="•"/>
      <w:lvlJc w:val="left"/>
      <w:pPr>
        <w:tabs>
          <w:tab w:val="num" w:pos="3600"/>
        </w:tabs>
        <w:ind w:left="3600" w:hanging="360"/>
      </w:pPr>
      <w:rPr>
        <w:rFonts w:ascii="Arial" w:hAnsi="Arial" w:hint="default"/>
      </w:rPr>
    </w:lvl>
    <w:lvl w:ilvl="5" w:tplc="46EC2A2C" w:tentative="1">
      <w:start w:val="1"/>
      <w:numFmt w:val="bullet"/>
      <w:lvlText w:val="•"/>
      <w:lvlJc w:val="left"/>
      <w:pPr>
        <w:tabs>
          <w:tab w:val="num" w:pos="4320"/>
        </w:tabs>
        <w:ind w:left="4320" w:hanging="360"/>
      </w:pPr>
      <w:rPr>
        <w:rFonts w:ascii="Arial" w:hAnsi="Arial" w:hint="default"/>
      </w:rPr>
    </w:lvl>
    <w:lvl w:ilvl="6" w:tplc="4958491C" w:tentative="1">
      <w:start w:val="1"/>
      <w:numFmt w:val="bullet"/>
      <w:lvlText w:val="•"/>
      <w:lvlJc w:val="left"/>
      <w:pPr>
        <w:tabs>
          <w:tab w:val="num" w:pos="5040"/>
        </w:tabs>
        <w:ind w:left="5040" w:hanging="360"/>
      </w:pPr>
      <w:rPr>
        <w:rFonts w:ascii="Arial" w:hAnsi="Arial" w:hint="default"/>
      </w:rPr>
    </w:lvl>
    <w:lvl w:ilvl="7" w:tplc="17AC990E" w:tentative="1">
      <w:start w:val="1"/>
      <w:numFmt w:val="bullet"/>
      <w:lvlText w:val="•"/>
      <w:lvlJc w:val="left"/>
      <w:pPr>
        <w:tabs>
          <w:tab w:val="num" w:pos="5760"/>
        </w:tabs>
        <w:ind w:left="5760" w:hanging="360"/>
      </w:pPr>
      <w:rPr>
        <w:rFonts w:ascii="Arial" w:hAnsi="Arial" w:hint="default"/>
      </w:rPr>
    </w:lvl>
    <w:lvl w:ilvl="8" w:tplc="20AEF5AE" w:tentative="1">
      <w:start w:val="1"/>
      <w:numFmt w:val="bullet"/>
      <w:lvlText w:val="•"/>
      <w:lvlJc w:val="left"/>
      <w:pPr>
        <w:tabs>
          <w:tab w:val="num" w:pos="6480"/>
        </w:tabs>
        <w:ind w:left="6480" w:hanging="360"/>
      </w:pPr>
      <w:rPr>
        <w:rFonts w:ascii="Arial" w:hAnsi="Arial" w:hint="default"/>
      </w:rPr>
    </w:lvl>
  </w:abstractNum>
  <w:abstractNum w:abstractNumId="8">
    <w:nsid w:val="43637231"/>
    <w:multiLevelType w:val="hybridMultilevel"/>
    <w:tmpl w:val="464C24C2"/>
    <w:lvl w:ilvl="0" w:tplc="AEE8A43C">
      <w:start w:val="1"/>
      <w:numFmt w:val="bullet"/>
      <w:lvlText w:val=""/>
      <w:lvlJc w:val="left"/>
      <w:pPr>
        <w:tabs>
          <w:tab w:val="num" w:pos="720"/>
        </w:tabs>
        <w:ind w:left="720" w:hanging="360"/>
      </w:pPr>
      <w:rPr>
        <w:rFonts w:ascii="Wingdings 2" w:hAnsi="Wingdings 2" w:hint="default"/>
      </w:rPr>
    </w:lvl>
    <w:lvl w:ilvl="1" w:tplc="1BC0FFEE" w:tentative="1">
      <w:start w:val="1"/>
      <w:numFmt w:val="bullet"/>
      <w:lvlText w:val=""/>
      <w:lvlJc w:val="left"/>
      <w:pPr>
        <w:tabs>
          <w:tab w:val="num" w:pos="1440"/>
        </w:tabs>
        <w:ind w:left="1440" w:hanging="360"/>
      </w:pPr>
      <w:rPr>
        <w:rFonts w:ascii="Wingdings 2" w:hAnsi="Wingdings 2" w:hint="default"/>
      </w:rPr>
    </w:lvl>
    <w:lvl w:ilvl="2" w:tplc="04E8AB10">
      <w:start w:val="171"/>
      <w:numFmt w:val="bullet"/>
      <w:lvlText w:val=""/>
      <w:lvlJc w:val="left"/>
      <w:pPr>
        <w:tabs>
          <w:tab w:val="num" w:pos="2160"/>
        </w:tabs>
        <w:ind w:left="2160" w:hanging="360"/>
      </w:pPr>
      <w:rPr>
        <w:rFonts w:ascii="Wingdings 2" w:hAnsi="Wingdings 2" w:hint="default"/>
      </w:rPr>
    </w:lvl>
    <w:lvl w:ilvl="3" w:tplc="F7E48A0C" w:tentative="1">
      <w:start w:val="1"/>
      <w:numFmt w:val="bullet"/>
      <w:lvlText w:val=""/>
      <w:lvlJc w:val="left"/>
      <w:pPr>
        <w:tabs>
          <w:tab w:val="num" w:pos="2880"/>
        </w:tabs>
        <w:ind w:left="2880" w:hanging="360"/>
      </w:pPr>
      <w:rPr>
        <w:rFonts w:ascii="Wingdings 2" w:hAnsi="Wingdings 2" w:hint="default"/>
      </w:rPr>
    </w:lvl>
    <w:lvl w:ilvl="4" w:tplc="943C704C" w:tentative="1">
      <w:start w:val="1"/>
      <w:numFmt w:val="bullet"/>
      <w:lvlText w:val=""/>
      <w:lvlJc w:val="left"/>
      <w:pPr>
        <w:tabs>
          <w:tab w:val="num" w:pos="3600"/>
        </w:tabs>
        <w:ind w:left="3600" w:hanging="360"/>
      </w:pPr>
      <w:rPr>
        <w:rFonts w:ascii="Wingdings 2" w:hAnsi="Wingdings 2" w:hint="default"/>
      </w:rPr>
    </w:lvl>
    <w:lvl w:ilvl="5" w:tplc="76ECDDC4" w:tentative="1">
      <w:start w:val="1"/>
      <w:numFmt w:val="bullet"/>
      <w:lvlText w:val=""/>
      <w:lvlJc w:val="left"/>
      <w:pPr>
        <w:tabs>
          <w:tab w:val="num" w:pos="4320"/>
        </w:tabs>
        <w:ind w:left="4320" w:hanging="360"/>
      </w:pPr>
      <w:rPr>
        <w:rFonts w:ascii="Wingdings 2" w:hAnsi="Wingdings 2" w:hint="default"/>
      </w:rPr>
    </w:lvl>
    <w:lvl w:ilvl="6" w:tplc="32B00A04" w:tentative="1">
      <w:start w:val="1"/>
      <w:numFmt w:val="bullet"/>
      <w:lvlText w:val=""/>
      <w:lvlJc w:val="left"/>
      <w:pPr>
        <w:tabs>
          <w:tab w:val="num" w:pos="5040"/>
        </w:tabs>
        <w:ind w:left="5040" w:hanging="360"/>
      </w:pPr>
      <w:rPr>
        <w:rFonts w:ascii="Wingdings 2" w:hAnsi="Wingdings 2" w:hint="default"/>
      </w:rPr>
    </w:lvl>
    <w:lvl w:ilvl="7" w:tplc="95E27618" w:tentative="1">
      <w:start w:val="1"/>
      <w:numFmt w:val="bullet"/>
      <w:lvlText w:val=""/>
      <w:lvlJc w:val="left"/>
      <w:pPr>
        <w:tabs>
          <w:tab w:val="num" w:pos="5760"/>
        </w:tabs>
        <w:ind w:left="5760" w:hanging="360"/>
      </w:pPr>
      <w:rPr>
        <w:rFonts w:ascii="Wingdings 2" w:hAnsi="Wingdings 2" w:hint="default"/>
      </w:rPr>
    </w:lvl>
    <w:lvl w:ilvl="8" w:tplc="18361F08" w:tentative="1">
      <w:start w:val="1"/>
      <w:numFmt w:val="bullet"/>
      <w:lvlText w:val=""/>
      <w:lvlJc w:val="left"/>
      <w:pPr>
        <w:tabs>
          <w:tab w:val="num" w:pos="6480"/>
        </w:tabs>
        <w:ind w:left="6480" w:hanging="360"/>
      </w:pPr>
      <w:rPr>
        <w:rFonts w:ascii="Wingdings 2" w:hAnsi="Wingdings 2" w:hint="default"/>
      </w:rPr>
    </w:lvl>
  </w:abstractNum>
  <w:abstractNum w:abstractNumId="9">
    <w:nsid w:val="58DC303F"/>
    <w:multiLevelType w:val="hybridMultilevel"/>
    <w:tmpl w:val="683C1C66"/>
    <w:lvl w:ilvl="0" w:tplc="26EEFFA6">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0">
    <w:nsid w:val="5C5E3C5C"/>
    <w:multiLevelType w:val="hybridMultilevel"/>
    <w:tmpl w:val="C7440BAC"/>
    <w:lvl w:ilvl="0" w:tplc="0410000F">
      <w:start w:val="1"/>
      <w:numFmt w:val="decimal"/>
      <w:lvlText w:val="%1."/>
      <w:lvlJc w:val="left"/>
      <w:pPr>
        <w:tabs>
          <w:tab w:val="num" w:pos="720"/>
        </w:tabs>
        <w:ind w:left="720" w:hanging="360"/>
      </w:pPr>
    </w:lvl>
    <w:lvl w:ilvl="1" w:tplc="0413000F">
      <w:start w:val="1"/>
      <w:numFmt w:val="decimal"/>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5CE9286F"/>
    <w:multiLevelType w:val="hybridMultilevel"/>
    <w:tmpl w:val="E8FEEDEA"/>
    <w:lvl w:ilvl="0" w:tplc="FCAA9200">
      <w:start w:val="5"/>
      <w:numFmt w:val="decimal"/>
      <w:lvlText w:val="%1"/>
      <w:lvlJc w:val="left"/>
      <w:pPr>
        <w:tabs>
          <w:tab w:val="num" w:pos="1155"/>
        </w:tabs>
        <w:ind w:left="1155" w:hanging="79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D3C0E77"/>
    <w:multiLevelType w:val="hybridMultilevel"/>
    <w:tmpl w:val="8F6EEA8A"/>
    <w:lvl w:ilvl="0" w:tplc="1A741E38">
      <w:start w:val="42"/>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9D179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nsid w:val="69E67CE5"/>
    <w:multiLevelType w:val="hybridMultilevel"/>
    <w:tmpl w:val="4D10CAA2"/>
    <w:lvl w:ilvl="0" w:tplc="474CA3C0">
      <w:start w:val="1"/>
      <w:numFmt w:val="bullet"/>
      <w:lvlText w:val=""/>
      <w:lvlJc w:val="left"/>
      <w:pPr>
        <w:tabs>
          <w:tab w:val="num" w:pos="360"/>
        </w:tabs>
        <w:ind w:left="360" w:hanging="360"/>
      </w:pPr>
      <w:rPr>
        <w:rFonts w:ascii="Wingdings 2" w:hAnsi="Wingdings 2" w:hint="default"/>
      </w:rPr>
    </w:lvl>
    <w:lvl w:ilvl="1" w:tplc="79E84C12">
      <w:start w:val="1"/>
      <w:numFmt w:val="bullet"/>
      <w:lvlText w:val=""/>
      <w:lvlJc w:val="left"/>
      <w:pPr>
        <w:tabs>
          <w:tab w:val="num" w:pos="1080"/>
        </w:tabs>
        <w:ind w:left="1080" w:hanging="360"/>
      </w:pPr>
      <w:rPr>
        <w:rFonts w:ascii="Wingdings 2" w:hAnsi="Wingdings 2" w:hint="default"/>
      </w:rPr>
    </w:lvl>
    <w:lvl w:ilvl="2" w:tplc="A91AFA12">
      <w:start w:val="3417"/>
      <w:numFmt w:val="bullet"/>
      <w:lvlText w:val=""/>
      <w:lvlJc w:val="left"/>
      <w:pPr>
        <w:tabs>
          <w:tab w:val="num" w:pos="1800"/>
        </w:tabs>
        <w:ind w:left="1800" w:hanging="360"/>
      </w:pPr>
      <w:rPr>
        <w:rFonts w:ascii="Wingdings 2" w:hAnsi="Wingdings 2" w:hint="default"/>
      </w:rPr>
    </w:lvl>
    <w:lvl w:ilvl="3" w:tplc="1D243A6A" w:tentative="1">
      <w:start w:val="1"/>
      <w:numFmt w:val="bullet"/>
      <w:lvlText w:val=""/>
      <w:lvlJc w:val="left"/>
      <w:pPr>
        <w:tabs>
          <w:tab w:val="num" w:pos="2520"/>
        </w:tabs>
        <w:ind w:left="2520" w:hanging="360"/>
      </w:pPr>
      <w:rPr>
        <w:rFonts w:ascii="Wingdings 2" w:hAnsi="Wingdings 2" w:hint="default"/>
      </w:rPr>
    </w:lvl>
    <w:lvl w:ilvl="4" w:tplc="81F63A82" w:tentative="1">
      <w:start w:val="1"/>
      <w:numFmt w:val="bullet"/>
      <w:lvlText w:val=""/>
      <w:lvlJc w:val="left"/>
      <w:pPr>
        <w:tabs>
          <w:tab w:val="num" w:pos="3240"/>
        </w:tabs>
        <w:ind w:left="3240" w:hanging="360"/>
      </w:pPr>
      <w:rPr>
        <w:rFonts w:ascii="Wingdings 2" w:hAnsi="Wingdings 2" w:hint="default"/>
      </w:rPr>
    </w:lvl>
    <w:lvl w:ilvl="5" w:tplc="FA74D2F6" w:tentative="1">
      <w:start w:val="1"/>
      <w:numFmt w:val="bullet"/>
      <w:lvlText w:val=""/>
      <w:lvlJc w:val="left"/>
      <w:pPr>
        <w:tabs>
          <w:tab w:val="num" w:pos="3960"/>
        </w:tabs>
        <w:ind w:left="3960" w:hanging="360"/>
      </w:pPr>
      <w:rPr>
        <w:rFonts w:ascii="Wingdings 2" w:hAnsi="Wingdings 2" w:hint="default"/>
      </w:rPr>
    </w:lvl>
    <w:lvl w:ilvl="6" w:tplc="D13CA880" w:tentative="1">
      <w:start w:val="1"/>
      <w:numFmt w:val="bullet"/>
      <w:lvlText w:val=""/>
      <w:lvlJc w:val="left"/>
      <w:pPr>
        <w:tabs>
          <w:tab w:val="num" w:pos="4680"/>
        </w:tabs>
        <w:ind w:left="4680" w:hanging="360"/>
      </w:pPr>
      <w:rPr>
        <w:rFonts w:ascii="Wingdings 2" w:hAnsi="Wingdings 2" w:hint="default"/>
      </w:rPr>
    </w:lvl>
    <w:lvl w:ilvl="7" w:tplc="CD8C19AE" w:tentative="1">
      <w:start w:val="1"/>
      <w:numFmt w:val="bullet"/>
      <w:lvlText w:val=""/>
      <w:lvlJc w:val="left"/>
      <w:pPr>
        <w:tabs>
          <w:tab w:val="num" w:pos="5400"/>
        </w:tabs>
        <w:ind w:left="5400" w:hanging="360"/>
      </w:pPr>
      <w:rPr>
        <w:rFonts w:ascii="Wingdings 2" w:hAnsi="Wingdings 2" w:hint="default"/>
      </w:rPr>
    </w:lvl>
    <w:lvl w:ilvl="8" w:tplc="82A8E506" w:tentative="1">
      <w:start w:val="1"/>
      <w:numFmt w:val="bullet"/>
      <w:lvlText w:val=""/>
      <w:lvlJc w:val="left"/>
      <w:pPr>
        <w:tabs>
          <w:tab w:val="num" w:pos="6120"/>
        </w:tabs>
        <w:ind w:left="6120" w:hanging="360"/>
      </w:pPr>
      <w:rPr>
        <w:rFonts w:ascii="Wingdings 2" w:hAnsi="Wingdings 2" w:hint="default"/>
      </w:rPr>
    </w:lvl>
  </w:abstractNum>
  <w:abstractNum w:abstractNumId="15">
    <w:nsid w:val="6BCD55E8"/>
    <w:multiLevelType w:val="multilevel"/>
    <w:tmpl w:val="EBC2139A"/>
    <w:name w:val="List Number"/>
    <w:lvl w:ilvl="0">
      <w:start w:val="1"/>
      <w:numFmt w:val="decimal"/>
      <w:lvlRestart w:val="0"/>
      <w:pStyle w:val="Listenumros"/>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6C4026F7"/>
    <w:multiLevelType w:val="hybridMultilevel"/>
    <w:tmpl w:val="11089BEE"/>
    <w:lvl w:ilvl="0" w:tplc="04090011">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7">
    <w:nsid w:val="723F3238"/>
    <w:multiLevelType w:val="hybridMultilevel"/>
    <w:tmpl w:val="B7DC14D0"/>
    <w:lvl w:ilvl="0" w:tplc="CAFE0F3A">
      <w:start w:val="1"/>
      <w:numFmt w:val="bullet"/>
      <w:lvlText w:val="•"/>
      <w:lvlJc w:val="left"/>
      <w:pPr>
        <w:tabs>
          <w:tab w:val="num" w:pos="720"/>
        </w:tabs>
        <w:ind w:left="720" w:hanging="360"/>
      </w:pPr>
      <w:rPr>
        <w:rFonts w:ascii="Arial" w:hAnsi="Arial" w:hint="default"/>
      </w:rPr>
    </w:lvl>
    <w:lvl w:ilvl="1" w:tplc="9334D942" w:tentative="1">
      <w:start w:val="1"/>
      <w:numFmt w:val="bullet"/>
      <w:lvlText w:val="•"/>
      <w:lvlJc w:val="left"/>
      <w:pPr>
        <w:tabs>
          <w:tab w:val="num" w:pos="1440"/>
        </w:tabs>
        <w:ind w:left="1440" w:hanging="360"/>
      </w:pPr>
      <w:rPr>
        <w:rFonts w:ascii="Arial" w:hAnsi="Arial" w:hint="default"/>
      </w:rPr>
    </w:lvl>
    <w:lvl w:ilvl="2" w:tplc="52BC53FA" w:tentative="1">
      <w:start w:val="1"/>
      <w:numFmt w:val="bullet"/>
      <w:lvlText w:val="•"/>
      <w:lvlJc w:val="left"/>
      <w:pPr>
        <w:tabs>
          <w:tab w:val="num" w:pos="2160"/>
        </w:tabs>
        <w:ind w:left="2160" w:hanging="360"/>
      </w:pPr>
      <w:rPr>
        <w:rFonts w:ascii="Arial" w:hAnsi="Arial" w:hint="default"/>
      </w:rPr>
    </w:lvl>
    <w:lvl w:ilvl="3" w:tplc="07D276FE" w:tentative="1">
      <w:start w:val="1"/>
      <w:numFmt w:val="bullet"/>
      <w:lvlText w:val="•"/>
      <w:lvlJc w:val="left"/>
      <w:pPr>
        <w:tabs>
          <w:tab w:val="num" w:pos="2880"/>
        </w:tabs>
        <w:ind w:left="2880" w:hanging="360"/>
      </w:pPr>
      <w:rPr>
        <w:rFonts w:ascii="Arial" w:hAnsi="Arial" w:hint="default"/>
      </w:rPr>
    </w:lvl>
    <w:lvl w:ilvl="4" w:tplc="89446E8E" w:tentative="1">
      <w:start w:val="1"/>
      <w:numFmt w:val="bullet"/>
      <w:lvlText w:val="•"/>
      <w:lvlJc w:val="left"/>
      <w:pPr>
        <w:tabs>
          <w:tab w:val="num" w:pos="3600"/>
        </w:tabs>
        <w:ind w:left="3600" w:hanging="360"/>
      </w:pPr>
      <w:rPr>
        <w:rFonts w:ascii="Arial" w:hAnsi="Arial" w:hint="default"/>
      </w:rPr>
    </w:lvl>
    <w:lvl w:ilvl="5" w:tplc="D2407D80" w:tentative="1">
      <w:start w:val="1"/>
      <w:numFmt w:val="bullet"/>
      <w:lvlText w:val="•"/>
      <w:lvlJc w:val="left"/>
      <w:pPr>
        <w:tabs>
          <w:tab w:val="num" w:pos="4320"/>
        </w:tabs>
        <w:ind w:left="4320" w:hanging="360"/>
      </w:pPr>
      <w:rPr>
        <w:rFonts w:ascii="Arial" w:hAnsi="Arial" w:hint="default"/>
      </w:rPr>
    </w:lvl>
    <w:lvl w:ilvl="6" w:tplc="2CEE0908" w:tentative="1">
      <w:start w:val="1"/>
      <w:numFmt w:val="bullet"/>
      <w:lvlText w:val="•"/>
      <w:lvlJc w:val="left"/>
      <w:pPr>
        <w:tabs>
          <w:tab w:val="num" w:pos="5040"/>
        </w:tabs>
        <w:ind w:left="5040" w:hanging="360"/>
      </w:pPr>
      <w:rPr>
        <w:rFonts w:ascii="Arial" w:hAnsi="Arial" w:hint="default"/>
      </w:rPr>
    </w:lvl>
    <w:lvl w:ilvl="7" w:tplc="B8F2B204" w:tentative="1">
      <w:start w:val="1"/>
      <w:numFmt w:val="bullet"/>
      <w:lvlText w:val="•"/>
      <w:lvlJc w:val="left"/>
      <w:pPr>
        <w:tabs>
          <w:tab w:val="num" w:pos="5760"/>
        </w:tabs>
        <w:ind w:left="5760" w:hanging="360"/>
      </w:pPr>
      <w:rPr>
        <w:rFonts w:ascii="Arial" w:hAnsi="Arial" w:hint="default"/>
      </w:rPr>
    </w:lvl>
    <w:lvl w:ilvl="8" w:tplc="C144CE26" w:tentative="1">
      <w:start w:val="1"/>
      <w:numFmt w:val="bullet"/>
      <w:lvlText w:val="•"/>
      <w:lvlJc w:val="left"/>
      <w:pPr>
        <w:tabs>
          <w:tab w:val="num" w:pos="6480"/>
        </w:tabs>
        <w:ind w:left="6480" w:hanging="360"/>
      </w:pPr>
      <w:rPr>
        <w:rFonts w:ascii="Arial" w:hAnsi="Arial" w:hint="default"/>
      </w:rPr>
    </w:lvl>
  </w:abstractNum>
  <w:abstractNum w:abstractNumId="18">
    <w:nsid w:val="7DBA12C6"/>
    <w:multiLevelType w:val="hybridMultilevel"/>
    <w:tmpl w:val="CD84CECC"/>
    <w:lvl w:ilvl="0" w:tplc="21C88208">
      <w:start w:val="1"/>
      <w:numFmt w:val="bullet"/>
      <w:lvlText w:val=""/>
      <w:lvlJc w:val="left"/>
      <w:pPr>
        <w:tabs>
          <w:tab w:val="num" w:pos="720"/>
        </w:tabs>
        <w:ind w:left="720" w:hanging="360"/>
      </w:pPr>
      <w:rPr>
        <w:rFonts w:ascii="Wingdings 2" w:hAnsi="Wingdings 2" w:hint="default"/>
      </w:rPr>
    </w:lvl>
    <w:lvl w:ilvl="1" w:tplc="1116EFEE">
      <w:start w:val="1"/>
      <w:numFmt w:val="bullet"/>
      <w:lvlText w:val=""/>
      <w:lvlJc w:val="left"/>
      <w:pPr>
        <w:tabs>
          <w:tab w:val="num" w:pos="1440"/>
        </w:tabs>
        <w:ind w:left="1440" w:hanging="360"/>
      </w:pPr>
      <w:rPr>
        <w:rFonts w:ascii="Wingdings 2" w:hAnsi="Wingdings 2" w:hint="default"/>
      </w:rPr>
    </w:lvl>
    <w:lvl w:ilvl="2" w:tplc="43CEB56A" w:tentative="1">
      <w:start w:val="1"/>
      <w:numFmt w:val="bullet"/>
      <w:lvlText w:val=""/>
      <w:lvlJc w:val="left"/>
      <w:pPr>
        <w:tabs>
          <w:tab w:val="num" w:pos="2160"/>
        </w:tabs>
        <w:ind w:left="2160" w:hanging="360"/>
      </w:pPr>
      <w:rPr>
        <w:rFonts w:ascii="Wingdings 2" w:hAnsi="Wingdings 2" w:hint="default"/>
      </w:rPr>
    </w:lvl>
    <w:lvl w:ilvl="3" w:tplc="58DA2720" w:tentative="1">
      <w:start w:val="1"/>
      <w:numFmt w:val="bullet"/>
      <w:lvlText w:val=""/>
      <w:lvlJc w:val="left"/>
      <w:pPr>
        <w:tabs>
          <w:tab w:val="num" w:pos="2880"/>
        </w:tabs>
        <w:ind w:left="2880" w:hanging="360"/>
      </w:pPr>
      <w:rPr>
        <w:rFonts w:ascii="Wingdings 2" w:hAnsi="Wingdings 2" w:hint="default"/>
      </w:rPr>
    </w:lvl>
    <w:lvl w:ilvl="4" w:tplc="4F5A89BE" w:tentative="1">
      <w:start w:val="1"/>
      <w:numFmt w:val="bullet"/>
      <w:lvlText w:val=""/>
      <w:lvlJc w:val="left"/>
      <w:pPr>
        <w:tabs>
          <w:tab w:val="num" w:pos="3600"/>
        </w:tabs>
        <w:ind w:left="3600" w:hanging="360"/>
      </w:pPr>
      <w:rPr>
        <w:rFonts w:ascii="Wingdings 2" w:hAnsi="Wingdings 2" w:hint="default"/>
      </w:rPr>
    </w:lvl>
    <w:lvl w:ilvl="5" w:tplc="B2DEA318" w:tentative="1">
      <w:start w:val="1"/>
      <w:numFmt w:val="bullet"/>
      <w:lvlText w:val=""/>
      <w:lvlJc w:val="left"/>
      <w:pPr>
        <w:tabs>
          <w:tab w:val="num" w:pos="4320"/>
        </w:tabs>
        <w:ind w:left="4320" w:hanging="360"/>
      </w:pPr>
      <w:rPr>
        <w:rFonts w:ascii="Wingdings 2" w:hAnsi="Wingdings 2" w:hint="default"/>
      </w:rPr>
    </w:lvl>
    <w:lvl w:ilvl="6" w:tplc="39C6EF14" w:tentative="1">
      <w:start w:val="1"/>
      <w:numFmt w:val="bullet"/>
      <w:lvlText w:val=""/>
      <w:lvlJc w:val="left"/>
      <w:pPr>
        <w:tabs>
          <w:tab w:val="num" w:pos="5040"/>
        </w:tabs>
        <w:ind w:left="5040" w:hanging="360"/>
      </w:pPr>
      <w:rPr>
        <w:rFonts w:ascii="Wingdings 2" w:hAnsi="Wingdings 2" w:hint="default"/>
      </w:rPr>
    </w:lvl>
    <w:lvl w:ilvl="7" w:tplc="993AAD08" w:tentative="1">
      <w:start w:val="1"/>
      <w:numFmt w:val="bullet"/>
      <w:lvlText w:val=""/>
      <w:lvlJc w:val="left"/>
      <w:pPr>
        <w:tabs>
          <w:tab w:val="num" w:pos="5760"/>
        </w:tabs>
        <w:ind w:left="5760" w:hanging="360"/>
      </w:pPr>
      <w:rPr>
        <w:rFonts w:ascii="Wingdings 2" w:hAnsi="Wingdings 2" w:hint="default"/>
      </w:rPr>
    </w:lvl>
    <w:lvl w:ilvl="8" w:tplc="8D744774" w:tentative="1">
      <w:start w:val="1"/>
      <w:numFmt w:val="bullet"/>
      <w:lvlText w:val=""/>
      <w:lvlJc w:val="left"/>
      <w:pPr>
        <w:tabs>
          <w:tab w:val="num" w:pos="6480"/>
        </w:tabs>
        <w:ind w:left="6480" w:hanging="360"/>
      </w:pPr>
      <w:rPr>
        <w:rFonts w:ascii="Wingdings 2" w:hAnsi="Wingdings 2" w:hint="default"/>
      </w:rPr>
    </w:lvl>
  </w:abstractNum>
  <w:num w:numId="1">
    <w:abstractNumId w:val="11"/>
  </w:num>
  <w:num w:numId="2">
    <w:abstractNumId w:val="3"/>
  </w:num>
  <w:num w:numId="3">
    <w:abstractNumId w:val="10"/>
  </w:num>
  <w:num w:numId="4">
    <w:abstractNumId w:val="4"/>
  </w:num>
  <w:num w:numId="5">
    <w:abstractNumId w:val="13"/>
  </w:num>
  <w:num w:numId="6">
    <w:abstractNumId w:val="9"/>
  </w:num>
  <w:num w:numId="7">
    <w:abstractNumId w:val="7"/>
  </w:num>
  <w:num w:numId="8">
    <w:abstractNumId w:val="17"/>
  </w:num>
  <w:num w:numId="9">
    <w:abstractNumId w:val="1"/>
  </w:num>
  <w:num w:numId="10">
    <w:abstractNumId w:val="8"/>
  </w:num>
  <w:num w:numId="11">
    <w:abstractNumId w:val="18"/>
  </w:num>
  <w:num w:numId="12">
    <w:abstractNumId w:val="5"/>
  </w:num>
  <w:num w:numId="13">
    <w:abstractNumId w:val="16"/>
  </w:num>
  <w:num w:numId="14">
    <w:abstractNumId w:val="2"/>
  </w:num>
  <w:num w:numId="15">
    <w:abstractNumId w:val="15"/>
  </w:num>
  <w:num w:numId="16">
    <w:abstractNumId w:val="0"/>
  </w:num>
  <w:num w:numId="17">
    <w:abstractNumId w:val="6"/>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70479"/>
    <w:rsid w:val="00000F1D"/>
    <w:rsid w:val="00013EA8"/>
    <w:rsid w:val="000325FA"/>
    <w:rsid w:val="0003542D"/>
    <w:rsid w:val="00050BC4"/>
    <w:rsid w:val="000671B2"/>
    <w:rsid w:val="000719D7"/>
    <w:rsid w:val="00090969"/>
    <w:rsid w:val="00097882"/>
    <w:rsid w:val="000A2F21"/>
    <w:rsid w:val="000A3EB7"/>
    <w:rsid w:val="000A552E"/>
    <w:rsid w:val="000C77C9"/>
    <w:rsid w:val="000D0E3C"/>
    <w:rsid w:val="000D3DD9"/>
    <w:rsid w:val="000D4BB3"/>
    <w:rsid w:val="000D6C71"/>
    <w:rsid w:val="000F1AAE"/>
    <w:rsid w:val="00103096"/>
    <w:rsid w:val="001139DD"/>
    <w:rsid w:val="0012777C"/>
    <w:rsid w:val="00142BE2"/>
    <w:rsid w:val="001577B2"/>
    <w:rsid w:val="0016471C"/>
    <w:rsid w:val="0016576A"/>
    <w:rsid w:val="00176BE0"/>
    <w:rsid w:val="0017754D"/>
    <w:rsid w:val="00180651"/>
    <w:rsid w:val="00187F3B"/>
    <w:rsid w:val="001949BD"/>
    <w:rsid w:val="00197171"/>
    <w:rsid w:val="001A23EF"/>
    <w:rsid w:val="001B208A"/>
    <w:rsid w:val="001C050A"/>
    <w:rsid w:val="001C7C76"/>
    <w:rsid w:val="001D6171"/>
    <w:rsid w:val="001F517A"/>
    <w:rsid w:val="001F7C63"/>
    <w:rsid w:val="00232438"/>
    <w:rsid w:val="00234251"/>
    <w:rsid w:val="002369CD"/>
    <w:rsid w:val="002428FD"/>
    <w:rsid w:val="00254F48"/>
    <w:rsid w:val="002606C4"/>
    <w:rsid w:val="00263AB1"/>
    <w:rsid w:val="002769E1"/>
    <w:rsid w:val="002840ED"/>
    <w:rsid w:val="00293904"/>
    <w:rsid w:val="002B4DD6"/>
    <w:rsid w:val="002C647D"/>
    <w:rsid w:val="002D2F8C"/>
    <w:rsid w:val="002D44E1"/>
    <w:rsid w:val="002D71F1"/>
    <w:rsid w:val="002F11BA"/>
    <w:rsid w:val="00302296"/>
    <w:rsid w:val="0030657F"/>
    <w:rsid w:val="003152CA"/>
    <w:rsid w:val="00322F06"/>
    <w:rsid w:val="00337A7E"/>
    <w:rsid w:val="00343823"/>
    <w:rsid w:val="0035341A"/>
    <w:rsid w:val="0037410F"/>
    <w:rsid w:val="00381197"/>
    <w:rsid w:val="0038120F"/>
    <w:rsid w:val="00394585"/>
    <w:rsid w:val="00397DD5"/>
    <w:rsid w:val="003A5957"/>
    <w:rsid w:val="003B5F3F"/>
    <w:rsid w:val="003B6AE8"/>
    <w:rsid w:val="003C015C"/>
    <w:rsid w:val="003C6D4E"/>
    <w:rsid w:val="003D0F45"/>
    <w:rsid w:val="003F31AD"/>
    <w:rsid w:val="00401907"/>
    <w:rsid w:val="0040550B"/>
    <w:rsid w:val="00406019"/>
    <w:rsid w:val="00406778"/>
    <w:rsid w:val="00410185"/>
    <w:rsid w:val="00413087"/>
    <w:rsid w:val="00420253"/>
    <w:rsid w:val="00434579"/>
    <w:rsid w:val="004406C0"/>
    <w:rsid w:val="00441579"/>
    <w:rsid w:val="00442DC8"/>
    <w:rsid w:val="00496E80"/>
    <w:rsid w:val="004A11CE"/>
    <w:rsid w:val="004A719D"/>
    <w:rsid w:val="004B1598"/>
    <w:rsid w:val="004B40D0"/>
    <w:rsid w:val="004D4ED3"/>
    <w:rsid w:val="004F0E67"/>
    <w:rsid w:val="0050098E"/>
    <w:rsid w:val="005211D7"/>
    <w:rsid w:val="005267EB"/>
    <w:rsid w:val="00535A12"/>
    <w:rsid w:val="0055717D"/>
    <w:rsid w:val="00562197"/>
    <w:rsid w:val="0059462F"/>
    <w:rsid w:val="0059554A"/>
    <w:rsid w:val="005B3733"/>
    <w:rsid w:val="005C6050"/>
    <w:rsid w:val="005D6D29"/>
    <w:rsid w:val="005E2F1F"/>
    <w:rsid w:val="005E4FEC"/>
    <w:rsid w:val="005E61E6"/>
    <w:rsid w:val="005F2DC0"/>
    <w:rsid w:val="005F420C"/>
    <w:rsid w:val="00626A3C"/>
    <w:rsid w:val="00635BC1"/>
    <w:rsid w:val="00640700"/>
    <w:rsid w:val="0064642E"/>
    <w:rsid w:val="006470E3"/>
    <w:rsid w:val="00655DEC"/>
    <w:rsid w:val="00663DA4"/>
    <w:rsid w:val="0069151F"/>
    <w:rsid w:val="00692B3C"/>
    <w:rsid w:val="006A56A4"/>
    <w:rsid w:val="006A5A02"/>
    <w:rsid w:val="006A747C"/>
    <w:rsid w:val="006A7D83"/>
    <w:rsid w:val="006B2BE7"/>
    <w:rsid w:val="006B68B0"/>
    <w:rsid w:val="006B7070"/>
    <w:rsid w:val="006C4F74"/>
    <w:rsid w:val="006D2E84"/>
    <w:rsid w:val="00704D2B"/>
    <w:rsid w:val="007160B7"/>
    <w:rsid w:val="00734885"/>
    <w:rsid w:val="00742B54"/>
    <w:rsid w:val="007608DE"/>
    <w:rsid w:val="0076637D"/>
    <w:rsid w:val="00770EFC"/>
    <w:rsid w:val="007802D1"/>
    <w:rsid w:val="007852C4"/>
    <w:rsid w:val="00786914"/>
    <w:rsid w:val="007939D8"/>
    <w:rsid w:val="0079636A"/>
    <w:rsid w:val="007B1317"/>
    <w:rsid w:val="007B7777"/>
    <w:rsid w:val="007C4B94"/>
    <w:rsid w:val="007D58F3"/>
    <w:rsid w:val="007F6A9E"/>
    <w:rsid w:val="00804570"/>
    <w:rsid w:val="00805C73"/>
    <w:rsid w:val="00810A36"/>
    <w:rsid w:val="00810BA2"/>
    <w:rsid w:val="00813813"/>
    <w:rsid w:val="0082665E"/>
    <w:rsid w:val="00835DB5"/>
    <w:rsid w:val="00844145"/>
    <w:rsid w:val="0085687D"/>
    <w:rsid w:val="008628F9"/>
    <w:rsid w:val="00862CBD"/>
    <w:rsid w:val="00870479"/>
    <w:rsid w:val="00875958"/>
    <w:rsid w:val="00895AFB"/>
    <w:rsid w:val="008C3156"/>
    <w:rsid w:val="008F519C"/>
    <w:rsid w:val="008F70C8"/>
    <w:rsid w:val="00905DDB"/>
    <w:rsid w:val="0091338E"/>
    <w:rsid w:val="00917F56"/>
    <w:rsid w:val="009270B2"/>
    <w:rsid w:val="009337A3"/>
    <w:rsid w:val="00955913"/>
    <w:rsid w:val="00961662"/>
    <w:rsid w:val="00961AEE"/>
    <w:rsid w:val="00965164"/>
    <w:rsid w:val="00970D12"/>
    <w:rsid w:val="00982174"/>
    <w:rsid w:val="009937E5"/>
    <w:rsid w:val="009A14D5"/>
    <w:rsid w:val="009A69C7"/>
    <w:rsid w:val="009B34BD"/>
    <w:rsid w:val="009C4313"/>
    <w:rsid w:val="009C6EA7"/>
    <w:rsid w:val="009D1DC7"/>
    <w:rsid w:val="009D7DEA"/>
    <w:rsid w:val="009E5FCD"/>
    <w:rsid w:val="009E7D37"/>
    <w:rsid w:val="009E7D4A"/>
    <w:rsid w:val="009F679A"/>
    <w:rsid w:val="00A04C82"/>
    <w:rsid w:val="00A13E17"/>
    <w:rsid w:val="00A2163B"/>
    <w:rsid w:val="00A23628"/>
    <w:rsid w:val="00A3246F"/>
    <w:rsid w:val="00A33818"/>
    <w:rsid w:val="00A345DB"/>
    <w:rsid w:val="00A349D9"/>
    <w:rsid w:val="00A435C9"/>
    <w:rsid w:val="00A448E7"/>
    <w:rsid w:val="00A51499"/>
    <w:rsid w:val="00A5762C"/>
    <w:rsid w:val="00A71ADA"/>
    <w:rsid w:val="00A8261C"/>
    <w:rsid w:val="00A928F2"/>
    <w:rsid w:val="00AB4C5B"/>
    <w:rsid w:val="00AB5D1B"/>
    <w:rsid w:val="00AD0427"/>
    <w:rsid w:val="00AE6CB1"/>
    <w:rsid w:val="00AF2BD2"/>
    <w:rsid w:val="00AF3C84"/>
    <w:rsid w:val="00B05774"/>
    <w:rsid w:val="00B0742E"/>
    <w:rsid w:val="00B07E62"/>
    <w:rsid w:val="00B47FE1"/>
    <w:rsid w:val="00B61D6D"/>
    <w:rsid w:val="00B61D9C"/>
    <w:rsid w:val="00B66551"/>
    <w:rsid w:val="00B712FC"/>
    <w:rsid w:val="00B71B4E"/>
    <w:rsid w:val="00B758AE"/>
    <w:rsid w:val="00B97CBD"/>
    <w:rsid w:val="00BB75B3"/>
    <w:rsid w:val="00BF177F"/>
    <w:rsid w:val="00C00E5E"/>
    <w:rsid w:val="00C075C0"/>
    <w:rsid w:val="00C33508"/>
    <w:rsid w:val="00C34E16"/>
    <w:rsid w:val="00C4554F"/>
    <w:rsid w:val="00C51136"/>
    <w:rsid w:val="00C53615"/>
    <w:rsid w:val="00C63D23"/>
    <w:rsid w:val="00C723D7"/>
    <w:rsid w:val="00C84F90"/>
    <w:rsid w:val="00C871EC"/>
    <w:rsid w:val="00C93562"/>
    <w:rsid w:val="00CD3712"/>
    <w:rsid w:val="00CE2022"/>
    <w:rsid w:val="00CE59BF"/>
    <w:rsid w:val="00CE5E39"/>
    <w:rsid w:val="00CF4100"/>
    <w:rsid w:val="00D11611"/>
    <w:rsid w:val="00D12C41"/>
    <w:rsid w:val="00D144B2"/>
    <w:rsid w:val="00D20F11"/>
    <w:rsid w:val="00D23325"/>
    <w:rsid w:val="00D41FF4"/>
    <w:rsid w:val="00D4784A"/>
    <w:rsid w:val="00D561CD"/>
    <w:rsid w:val="00D71704"/>
    <w:rsid w:val="00D804CB"/>
    <w:rsid w:val="00D86A50"/>
    <w:rsid w:val="00D92921"/>
    <w:rsid w:val="00DA1B23"/>
    <w:rsid w:val="00DA32DA"/>
    <w:rsid w:val="00DA7EA8"/>
    <w:rsid w:val="00DB25B2"/>
    <w:rsid w:val="00DD6208"/>
    <w:rsid w:val="00DE4F9F"/>
    <w:rsid w:val="00DF3F77"/>
    <w:rsid w:val="00DF4A48"/>
    <w:rsid w:val="00E21D45"/>
    <w:rsid w:val="00E35D22"/>
    <w:rsid w:val="00E40899"/>
    <w:rsid w:val="00E61154"/>
    <w:rsid w:val="00E62E99"/>
    <w:rsid w:val="00E66783"/>
    <w:rsid w:val="00E703B7"/>
    <w:rsid w:val="00E81990"/>
    <w:rsid w:val="00E8601D"/>
    <w:rsid w:val="00E87E9A"/>
    <w:rsid w:val="00EA0F2E"/>
    <w:rsid w:val="00EB2815"/>
    <w:rsid w:val="00EB2B5A"/>
    <w:rsid w:val="00EC26D6"/>
    <w:rsid w:val="00EF0219"/>
    <w:rsid w:val="00F130B4"/>
    <w:rsid w:val="00F314BE"/>
    <w:rsid w:val="00F345F7"/>
    <w:rsid w:val="00F65CEC"/>
    <w:rsid w:val="00F7313A"/>
    <w:rsid w:val="00F740A2"/>
    <w:rsid w:val="00F74976"/>
    <w:rsid w:val="00F81A09"/>
    <w:rsid w:val="00F85293"/>
    <w:rsid w:val="00FB6791"/>
    <w:rsid w:val="00FB6997"/>
    <w:rsid w:val="00FD02D6"/>
    <w:rsid w:val="00FD1A79"/>
    <w:rsid w:val="00FF33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ountry-region"/>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0479"/>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basedOn w:val="Normal"/>
    <w:next w:val="Normal"/>
    <w:qFormat/>
    <w:rsid w:val="00870479"/>
    <w:pPr>
      <w:keepNext/>
      <w:spacing w:before="240" w:after="60"/>
      <w:outlineLvl w:val="0"/>
    </w:pPr>
    <w:rPr>
      <w:rFonts w:ascii="Arial" w:hAnsi="Arial" w:cs="Arial"/>
      <w:b/>
      <w:bCs/>
      <w:kern w:val="32"/>
      <w:sz w:val="32"/>
      <w:szCs w:val="32"/>
    </w:rPr>
  </w:style>
  <w:style w:type="paragraph" w:styleId="Titre2">
    <w:name w:val="heading 2"/>
    <w:aliases w:val="título 2,l2,h2,Sub-section,UNDERRUBRIK 1-2,2nd level,2,Header 2,H2,h21,Heading Two,R2"/>
    <w:basedOn w:val="Titre1"/>
    <w:next w:val="Normal"/>
    <w:qFormat/>
    <w:rsid w:val="00870479"/>
    <w:pPr>
      <w:keepLines/>
      <w:tabs>
        <w:tab w:val="clear" w:pos="1191"/>
        <w:tab w:val="clear" w:pos="1588"/>
        <w:tab w:val="clear" w:pos="1985"/>
        <w:tab w:val="left" w:pos="2127"/>
        <w:tab w:val="left" w:pos="2410"/>
        <w:tab w:val="left" w:pos="2921"/>
        <w:tab w:val="left" w:pos="3261"/>
      </w:tabs>
      <w:spacing w:before="320" w:after="0"/>
      <w:outlineLvl w:val="1"/>
    </w:pPr>
    <w:rPr>
      <w:rFonts w:ascii="Times New Roman" w:hAnsi="Times New Roman" w:cs="Times New Roman"/>
      <w:bCs w:val="0"/>
      <w:kern w:val="0"/>
      <w:sz w:val="24"/>
      <w:szCs w:val="20"/>
    </w:rPr>
  </w:style>
  <w:style w:type="paragraph" w:styleId="Titre4">
    <w:name w:val="heading 4"/>
    <w:basedOn w:val="Normal"/>
    <w:next w:val="Normal"/>
    <w:qFormat/>
    <w:rsid w:val="00AF3C84"/>
    <w:pPr>
      <w:keepNext/>
      <w:spacing w:before="240" w:after="60"/>
      <w:outlineLvl w:val="3"/>
    </w:pPr>
    <w:rPr>
      <w:b/>
      <w:bCs/>
      <w:sz w:val="28"/>
      <w:szCs w:val="28"/>
    </w:rPr>
  </w:style>
  <w:style w:type="paragraph" w:styleId="Titre9">
    <w:name w:val="heading 9"/>
    <w:basedOn w:val="Normal"/>
    <w:next w:val="Normal"/>
    <w:qFormat/>
    <w:rsid w:val="00AF3C8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aliases w:val="pie de página,footer odd,footer"/>
    <w:basedOn w:val="Normal"/>
    <w:rsid w:val="00870479"/>
    <w:pPr>
      <w:tabs>
        <w:tab w:val="clear" w:pos="794"/>
        <w:tab w:val="clear" w:pos="1191"/>
        <w:tab w:val="clear" w:pos="1588"/>
        <w:tab w:val="clear" w:pos="1985"/>
        <w:tab w:val="left" w:pos="5954"/>
        <w:tab w:val="right" w:pos="9639"/>
      </w:tabs>
      <w:spacing w:before="0"/>
    </w:pPr>
    <w:rPr>
      <w:caps/>
      <w:sz w:val="18"/>
    </w:rPr>
  </w:style>
  <w:style w:type="paragraph" w:customStyle="1" w:styleId="enumlev1">
    <w:name w:val="enumlev1"/>
    <w:basedOn w:val="Normal"/>
    <w:rsid w:val="00870479"/>
    <w:pPr>
      <w:spacing w:before="80"/>
      <w:ind w:left="794" w:hanging="794"/>
    </w:pPr>
  </w:style>
  <w:style w:type="paragraph" w:customStyle="1" w:styleId="Normalaftertitle">
    <w:name w:val="Normal after title"/>
    <w:basedOn w:val="Normal"/>
    <w:next w:val="Normal"/>
    <w:link w:val="NormalaftertitleChar"/>
    <w:rsid w:val="00870479"/>
    <w:pPr>
      <w:spacing w:before="320"/>
    </w:pPr>
  </w:style>
  <w:style w:type="character" w:customStyle="1" w:styleId="NormalaftertitleChar">
    <w:name w:val="Normal after title Char"/>
    <w:link w:val="Normalaftertitle"/>
    <w:rsid w:val="00870479"/>
    <w:rPr>
      <w:sz w:val="24"/>
      <w:lang w:val="en-GB" w:eastAsia="en-US" w:bidi="ar-SA"/>
    </w:rPr>
  </w:style>
  <w:style w:type="paragraph" w:customStyle="1" w:styleId="Head">
    <w:name w:val="Head"/>
    <w:basedOn w:val="Normal"/>
    <w:rsid w:val="00870479"/>
    <w:pPr>
      <w:tabs>
        <w:tab w:val="clear" w:pos="794"/>
        <w:tab w:val="clear" w:pos="1191"/>
        <w:tab w:val="clear" w:pos="1588"/>
        <w:tab w:val="clear" w:pos="1985"/>
        <w:tab w:val="left" w:pos="6663"/>
      </w:tabs>
      <w:spacing w:before="0"/>
    </w:pPr>
  </w:style>
  <w:style w:type="paragraph" w:customStyle="1" w:styleId="Note">
    <w:name w:val="Note"/>
    <w:basedOn w:val="Normal"/>
    <w:link w:val="NoteChar"/>
    <w:rsid w:val="00870479"/>
    <w:pPr>
      <w:tabs>
        <w:tab w:val="left" w:pos="397"/>
      </w:tabs>
    </w:pPr>
  </w:style>
  <w:style w:type="character" w:customStyle="1" w:styleId="NoteChar">
    <w:name w:val="Note Char"/>
    <w:link w:val="Note"/>
    <w:rsid w:val="00870479"/>
    <w:rPr>
      <w:sz w:val="24"/>
      <w:lang w:val="en-GB" w:eastAsia="en-US" w:bidi="ar-SA"/>
    </w:rPr>
  </w:style>
  <w:style w:type="character" w:customStyle="1" w:styleId="href">
    <w:name w:val="href"/>
    <w:basedOn w:val="Policepardfaut"/>
    <w:rsid w:val="00870479"/>
  </w:style>
  <w:style w:type="character" w:customStyle="1" w:styleId="Artref">
    <w:name w:val="Art_ref"/>
    <w:basedOn w:val="Policepardfaut"/>
    <w:rsid w:val="00870479"/>
  </w:style>
  <w:style w:type="paragraph" w:styleId="Corpsdetexte3">
    <w:name w:val="Body Text 3"/>
    <w:basedOn w:val="Normal"/>
    <w:rsid w:val="00870479"/>
    <w:pPr>
      <w:jc w:val="center"/>
    </w:pPr>
    <w:rPr>
      <w:b/>
      <w:sz w:val="20"/>
    </w:rPr>
  </w:style>
  <w:style w:type="character" w:customStyle="1" w:styleId="Artdef">
    <w:name w:val="Art_def"/>
    <w:rsid w:val="00870479"/>
    <w:rPr>
      <w:rFonts w:ascii="Times New Roman" w:hAnsi="Times New Roman"/>
      <w:b/>
    </w:rPr>
  </w:style>
  <w:style w:type="character" w:customStyle="1" w:styleId="TabletextChar">
    <w:name w:val="Table_text Char"/>
    <w:link w:val="Tabletext"/>
    <w:locked/>
    <w:rsid w:val="00870479"/>
    <w:rPr>
      <w:sz w:val="22"/>
      <w:lang w:val="en-GB" w:eastAsia="en-US" w:bidi="ar-SA"/>
    </w:rPr>
  </w:style>
  <w:style w:type="paragraph" w:customStyle="1" w:styleId="Tabletext">
    <w:name w:val="Table_text"/>
    <w:basedOn w:val="Normal"/>
    <w:link w:val="TabletextChar"/>
    <w:rsid w:val="008704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rPr>
      <w:sz w:val="22"/>
    </w:rPr>
  </w:style>
  <w:style w:type="character" w:customStyle="1" w:styleId="AnnexNoTitleChar">
    <w:name w:val="Annex_NoTitle Char"/>
    <w:link w:val="AnnexNoTitle"/>
    <w:locked/>
    <w:rsid w:val="00870479"/>
    <w:rPr>
      <w:b/>
      <w:sz w:val="28"/>
      <w:lang w:val="en-GB" w:eastAsia="en-US" w:bidi="ar-SA"/>
    </w:rPr>
  </w:style>
  <w:style w:type="paragraph" w:customStyle="1" w:styleId="AnnexNoTitle">
    <w:name w:val="Annex_NoTitle"/>
    <w:basedOn w:val="Normal"/>
    <w:next w:val="Normal"/>
    <w:link w:val="AnnexNoTitleChar"/>
    <w:rsid w:val="00870479"/>
    <w:pPr>
      <w:keepNext/>
      <w:keepLines/>
      <w:spacing w:before="480"/>
      <w:jc w:val="center"/>
      <w:textAlignment w:val="auto"/>
    </w:pPr>
    <w:rPr>
      <w:b/>
      <w:sz w:val="28"/>
    </w:rPr>
  </w:style>
  <w:style w:type="paragraph" w:customStyle="1" w:styleId="Tablehead">
    <w:name w:val="Table_head"/>
    <w:basedOn w:val="Normal"/>
    <w:next w:val="Tabletext"/>
    <w:link w:val="TableheadChar"/>
    <w:rsid w:val="0087047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pPr>
    <w:rPr>
      <w:b/>
      <w:sz w:val="22"/>
    </w:rPr>
  </w:style>
  <w:style w:type="paragraph" w:customStyle="1" w:styleId="Sous-titre1">
    <w:name w:val="Sous-titre1"/>
    <w:basedOn w:val="Normal"/>
    <w:rsid w:val="00D804CB"/>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table" w:styleId="Grilledutableau">
    <w:name w:val="Table Grid"/>
    <w:basedOn w:val="TableauNormal"/>
    <w:rsid w:val="00A3246F"/>
    <w:pPr>
      <w:autoSpaceDE w:val="0"/>
      <w:autoSpaceDN w:val="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rsid w:val="00CE2022"/>
    <w:pPr>
      <w:tabs>
        <w:tab w:val="clear" w:pos="794"/>
        <w:tab w:val="clear" w:pos="1191"/>
        <w:tab w:val="clear" w:pos="1588"/>
        <w:tab w:val="clear" w:pos="1985"/>
        <w:tab w:val="center" w:pos="4536"/>
        <w:tab w:val="right" w:pos="9072"/>
      </w:tabs>
    </w:pPr>
  </w:style>
  <w:style w:type="paragraph" w:customStyle="1" w:styleId="CharCharCharCharCarCharCharChar1CharCharCharCar">
    <w:name w:val="Char Char Char Char Car Char Char Char1 Char Char Char Car"/>
    <w:basedOn w:val="Normal"/>
    <w:rsid w:val="0012777C"/>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styleId="Notedebasdepage">
    <w:name w:val="footnote text"/>
    <w:basedOn w:val="Normal"/>
    <w:link w:val="NotedebasdepageCar"/>
    <w:rsid w:val="00103096"/>
    <w:pPr>
      <w:keepLines/>
      <w:tabs>
        <w:tab w:val="left" w:pos="255"/>
      </w:tabs>
      <w:ind w:left="255" w:hanging="255"/>
      <w:jc w:val="both"/>
    </w:pPr>
    <w:rPr>
      <w:sz w:val="22"/>
      <w:lang w:val="fr-FR"/>
    </w:rPr>
  </w:style>
  <w:style w:type="character" w:customStyle="1" w:styleId="NotedebasdepageCar">
    <w:name w:val="Note de bas de page Car"/>
    <w:link w:val="Notedebasdepage"/>
    <w:locked/>
    <w:rsid w:val="00103096"/>
    <w:rPr>
      <w:sz w:val="22"/>
      <w:lang w:val="fr-FR" w:eastAsia="en-US" w:bidi="ar-SA"/>
    </w:rPr>
  </w:style>
  <w:style w:type="character" w:styleId="Appelnotedebasdep">
    <w:name w:val="footnote reference"/>
    <w:rsid w:val="00103096"/>
    <w:rPr>
      <w:rFonts w:cs="Times New Roman"/>
      <w:position w:val="6"/>
      <w:sz w:val="18"/>
    </w:rPr>
  </w:style>
  <w:style w:type="character" w:customStyle="1" w:styleId="TableheadChar">
    <w:name w:val="Table_head Char"/>
    <w:link w:val="Tablehead"/>
    <w:locked/>
    <w:rsid w:val="00103096"/>
    <w:rPr>
      <w:b/>
      <w:sz w:val="22"/>
      <w:lang w:val="en-GB" w:eastAsia="en-US" w:bidi="ar-SA"/>
    </w:rPr>
  </w:style>
  <w:style w:type="paragraph" w:customStyle="1" w:styleId="Tablefin">
    <w:name w:val="Table_fin"/>
    <w:basedOn w:val="Normal"/>
    <w:next w:val="Normal"/>
    <w:rsid w:val="00103096"/>
    <w:pPr>
      <w:spacing w:before="0"/>
      <w:jc w:val="both"/>
    </w:pPr>
    <w:rPr>
      <w:sz w:val="20"/>
    </w:rPr>
  </w:style>
  <w:style w:type="paragraph" w:customStyle="1" w:styleId="Texte">
    <w:name w:val="Texte"/>
    <w:basedOn w:val="Normal"/>
    <w:rsid w:val="00263AB1"/>
    <w:pPr>
      <w:tabs>
        <w:tab w:val="clear" w:pos="794"/>
        <w:tab w:val="clear" w:pos="1191"/>
        <w:tab w:val="clear" w:pos="1588"/>
        <w:tab w:val="clear" w:pos="1985"/>
      </w:tabs>
      <w:overflowPunct/>
      <w:autoSpaceDE/>
      <w:autoSpaceDN/>
      <w:adjustRightInd/>
      <w:jc w:val="both"/>
      <w:textAlignment w:val="auto"/>
    </w:pPr>
    <w:rPr>
      <w:rFonts w:ascii="Arial" w:hAnsi="Arial"/>
      <w:sz w:val="22"/>
      <w:szCs w:val="24"/>
      <w:lang w:eastAsia="fr-FR"/>
    </w:rPr>
  </w:style>
  <w:style w:type="paragraph" w:styleId="Listenumros">
    <w:name w:val="List Number"/>
    <w:basedOn w:val="Normal"/>
    <w:rsid w:val="008C3156"/>
    <w:pPr>
      <w:numPr>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2">
    <w:name w:val="List Number (Level 2)"/>
    <w:basedOn w:val="Normal"/>
    <w:rsid w:val="008C3156"/>
    <w:pPr>
      <w:numPr>
        <w:ilvl w:val="1"/>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3">
    <w:name w:val="List Number (Level 3)"/>
    <w:basedOn w:val="Normal"/>
    <w:rsid w:val="008C3156"/>
    <w:pPr>
      <w:numPr>
        <w:ilvl w:val="2"/>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4">
    <w:name w:val="List Number (Level 4)"/>
    <w:basedOn w:val="Normal"/>
    <w:rsid w:val="008C3156"/>
    <w:pPr>
      <w:numPr>
        <w:ilvl w:val="3"/>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styleId="Retraitcorpsdetexte">
    <w:name w:val="Body Text Indent"/>
    <w:basedOn w:val="Normal"/>
    <w:rsid w:val="008C3156"/>
    <w:pPr>
      <w:spacing w:after="120"/>
      <w:ind w:left="283"/>
    </w:pPr>
  </w:style>
  <w:style w:type="paragraph" w:styleId="Textedebulles">
    <w:name w:val="Balloon Text"/>
    <w:basedOn w:val="Normal"/>
    <w:link w:val="TextedebullesCar"/>
    <w:rsid w:val="000C77C9"/>
    <w:pPr>
      <w:spacing w:before="0"/>
    </w:pPr>
    <w:rPr>
      <w:rFonts w:ascii="Tahoma" w:hAnsi="Tahoma" w:cs="Tahoma"/>
      <w:sz w:val="16"/>
      <w:szCs w:val="16"/>
    </w:rPr>
  </w:style>
  <w:style w:type="character" w:customStyle="1" w:styleId="TextedebullesCar">
    <w:name w:val="Texte de bulles Car"/>
    <w:link w:val="Textedebulles"/>
    <w:rsid w:val="000C77C9"/>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0479"/>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basedOn w:val="Normal"/>
    <w:next w:val="Normal"/>
    <w:qFormat/>
    <w:rsid w:val="00870479"/>
    <w:pPr>
      <w:keepNext/>
      <w:spacing w:before="240" w:after="60"/>
      <w:outlineLvl w:val="0"/>
    </w:pPr>
    <w:rPr>
      <w:rFonts w:ascii="Arial" w:hAnsi="Arial" w:cs="Arial"/>
      <w:b/>
      <w:bCs/>
      <w:kern w:val="32"/>
      <w:sz w:val="32"/>
      <w:szCs w:val="32"/>
    </w:rPr>
  </w:style>
  <w:style w:type="paragraph" w:styleId="Titre2">
    <w:name w:val="heading 2"/>
    <w:aliases w:val="título 2,l2,h2,Sub-section,UNDERRUBRIK 1-2,2nd level,2,Header 2,H2,h21,Heading Two,R2"/>
    <w:basedOn w:val="Titre1"/>
    <w:next w:val="Normal"/>
    <w:qFormat/>
    <w:rsid w:val="00870479"/>
    <w:pPr>
      <w:keepLines/>
      <w:tabs>
        <w:tab w:val="clear" w:pos="1191"/>
        <w:tab w:val="clear" w:pos="1588"/>
        <w:tab w:val="clear" w:pos="1985"/>
        <w:tab w:val="left" w:pos="2127"/>
        <w:tab w:val="left" w:pos="2410"/>
        <w:tab w:val="left" w:pos="2921"/>
        <w:tab w:val="left" w:pos="3261"/>
      </w:tabs>
      <w:spacing w:before="320" w:after="0"/>
      <w:outlineLvl w:val="1"/>
    </w:pPr>
    <w:rPr>
      <w:rFonts w:ascii="Times New Roman" w:hAnsi="Times New Roman" w:cs="Times New Roman"/>
      <w:bCs w:val="0"/>
      <w:kern w:val="0"/>
      <w:sz w:val="24"/>
      <w:szCs w:val="20"/>
    </w:rPr>
  </w:style>
  <w:style w:type="paragraph" w:styleId="Titre4">
    <w:name w:val="heading 4"/>
    <w:basedOn w:val="Normal"/>
    <w:next w:val="Normal"/>
    <w:qFormat/>
    <w:rsid w:val="00AF3C84"/>
    <w:pPr>
      <w:keepNext/>
      <w:spacing w:before="240" w:after="60"/>
      <w:outlineLvl w:val="3"/>
    </w:pPr>
    <w:rPr>
      <w:b/>
      <w:bCs/>
      <w:sz w:val="28"/>
      <w:szCs w:val="28"/>
    </w:rPr>
  </w:style>
  <w:style w:type="paragraph" w:styleId="Titre9">
    <w:name w:val="heading 9"/>
    <w:basedOn w:val="Normal"/>
    <w:next w:val="Normal"/>
    <w:qFormat/>
    <w:rsid w:val="00AF3C8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aliases w:val="pie de página,footer odd,footer"/>
    <w:basedOn w:val="Normal"/>
    <w:rsid w:val="00870479"/>
    <w:pPr>
      <w:tabs>
        <w:tab w:val="clear" w:pos="794"/>
        <w:tab w:val="clear" w:pos="1191"/>
        <w:tab w:val="clear" w:pos="1588"/>
        <w:tab w:val="clear" w:pos="1985"/>
        <w:tab w:val="left" w:pos="5954"/>
        <w:tab w:val="right" w:pos="9639"/>
      </w:tabs>
      <w:spacing w:before="0"/>
    </w:pPr>
    <w:rPr>
      <w:caps/>
      <w:sz w:val="18"/>
    </w:rPr>
  </w:style>
  <w:style w:type="paragraph" w:customStyle="1" w:styleId="enumlev1">
    <w:name w:val="enumlev1"/>
    <w:basedOn w:val="Normal"/>
    <w:rsid w:val="00870479"/>
    <w:pPr>
      <w:spacing w:before="80"/>
      <w:ind w:left="794" w:hanging="794"/>
    </w:pPr>
  </w:style>
  <w:style w:type="paragraph" w:customStyle="1" w:styleId="Normalaftertitle">
    <w:name w:val="Normal after title"/>
    <w:basedOn w:val="Normal"/>
    <w:next w:val="Normal"/>
    <w:link w:val="NormalaftertitleChar"/>
    <w:rsid w:val="00870479"/>
    <w:pPr>
      <w:spacing w:before="320"/>
    </w:pPr>
  </w:style>
  <w:style w:type="character" w:customStyle="1" w:styleId="NormalaftertitleChar">
    <w:name w:val="Normal after title Char"/>
    <w:link w:val="Normalaftertitle"/>
    <w:rsid w:val="00870479"/>
    <w:rPr>
      <w:sz w:val="24"/>
      <w:lang w:val="en-GB" w:eastAsia="en-US" w:bidi="ar-SA"/>
    </w:rPr>
  </w:style>
  <w:style w:type="paragraph" w:customStyle="1" w:styleId="Head">
    <w:name w:val="Head"/>
    <w:basedOn w:val="Normal"/>
    <w:rsid w:val="00870479"/>
    <w:pPr>
      <w:tabs>
        <w:tab w:val="clear" w:pos="794"/>
        <w:tab w:val="clear" w:pos="1191"/>
        <w:tab w:val="clear" w:pos="1588"/>
        <w:tab w:val="clear" w:pos="1985"/>
        <w:tab w:val="left" w:pos="6663"/>
      </w:tabs>
      <w:spacing w:before="0"/>
    </w:pPr>
  </w:style>
  <w:style w:type="paragraph" w:customStyle="1" w:styleId="Note">
    <w:name w:val="Note"/>
    <w:basedOn w:val="Normal"/>
    <w:link w:val="NoteChar"/>
    <w:rsid w:val="00870479"/>
    <w:pPr>
      <w:tabs>
        <w:tab w:val="left" w:pos="397"/>
      </w:tabs>
    </w:pPr>
  </w:style>
  <w:style w:type="character" w:customStyle="1" w:styleId="NoteChar">
    <w:name w:val="Note Char"/>
    <w:link w:val="Note"/>
    <w:rsid w:val="00870479"/>
    <w:rPr>
      <w:sz w:val="24"/>
      <w:lang w:val="en-GB" w:eastAsia="en-US" w:bidi="ar-SA"/>
    </w:rPr>
  </w:style>
  <w:style w:type="character" w:customStyle="1" w:styleId="href">
    <w:name w:val="href"/>
    <w:basedOn w:val="Policepardfaut"/>
    <w:rsid w:val="00870479"/>
  </w:style>
  <w:style w:type="character" w:customStyle="1" w:styleId="Artref">
    <w:name w:val="Art_ref"/>
    <w:basedOn w:val="Policepardfaut"/>
    <w:rsid w:val="00870479"/>
  </w:style>
  <w:style w:type="paragraph" w:styleId="Corpsdetexte3">
    <w:name w:val="Body Text 3"/>
    <w:basedOn w:val="Normal"/>
    <w:rsid w:val="00870479"/>
    <w:pPr>
      <w:jc w:val="center"/>
    </w:pPr>
    <w:rPr>
      <w:b/>
      <w:sz w:val="20"/>
    </w:rPr>
  </w:style>
  <w:style w:type="character" w:customStyle="1" w:styleId="Artdef">
    <w:name w:val="Art_def"/>
    <w:rsid w:val="00870479"/>
    <w:rPr>
      <w:rFonts w:ascii="Times New Roman" w:hAnsi="Times New Roman"/>
      <w:b/>
    </w:rPr>
  </w:style>
  <w:style w:type="character" w:customStyle="1" w:styleId="TabletextChar">
    <w:name w:val="Table_text Char"/>
    <w:link w:val="Tabletext"/>
    <w:locked/>
    <w:rsid w:val="00870479"/>
    <w:rPr>
      <w:sz w:val="22"/>
      <w:lang w:val="en-GB" w:eastAsia="en-US" w:bidi="ar-SA"/>
    </w:rPr>
  </w:style>
  <w:style w:type="paragraph" w:customStyle="1" w:styleId="Tabletext">
    <w:name w:val="Table_text"/>
    <w:basedOn w:val="Normal"/>
    <w:link w:val="TabletextChar"/>
    <w:rsid w:val="008704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rPr>
      <w:sz w:val="22"/>
    </w:rPr>
  </w:style>
  <w:style w:type="character" w:customStyle="1" w:styleId="AnnexNoTitleChar">
    <w:name w:val="Annex_NoTitle Char"/>
    <w:link w:val="AnnexNoTitle"/>
    <w:locked/>
    <w:rsid w:val="00870479"/>
    <w:rPr>
      <w:b/>
      <w:sz w:val="28"/>
      <w:lang w:val="en-GB" w:eastAsia="en-US" w:bidi="ar-SA"/>
    </w:rPr>
  </w:style>
  <w:style w:type="paragraph" w:customStyle="1" w:styleId="AnnexNoTitle">
    <w:name w:val="Annex_NoTitle"/>
    <w:basedOn w:val="Normal"/>
    <w:next w:val="Normal"/>
    <w:link w:val="AnnexNoTitleChar"/>
    <w:rsid w:val="00870479"/>
    <w:pPr>
      <w:keepNext/>
      <w:keepLines/>
      <w:spacing w:before="480"/>
      <w:jc w:val="center"/>
      <w:textAlignment w:val="auto"/>
    </w:pPr>
    <w:rPr>
      <w:b/>
      <w:sz w:val="28"/>
    </w:rPr>
  </w:style>
  <w:style w:type="paragraph" w:customStyle="1" w:styleId="Tablehead">
    <w:name w:val="Table_head"/>
    <w:basedOn w:val="Normal"/>
    <w:next w:val="Tabletext"/>
    <w:link w:val="TableheadChar"/>
    <w:rsid w:val="0087047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pPr>
    <w:rPr>
      <w:b/>
      <w:sz w:val="22"/>
    </w:rPr>
  </w:style>
  <w:style w:type="paragraph" w:customStyle="1" w:styleId="Sous-titre1">
    <w:name w:val="Sous-titre1"/>
    <w:basedOn w:val="Normal"/>
    <w:rsid w:val="00D804CB"/>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table" w:styleId="Grilledutableau">
    <w:name w:val="Table Grid"/>
    <w:basedOn w:val="TableauNormal"/>
    <w:rsid w:val="00A3246F"/>
    <w:pPr>
      <w:autoSpaceDE w:val="0"/>
      <w:autoSpaceDN w:val="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rsid w:val="00CE2022"/>
    <w:pPr>
      <w:tabs>
        <w:tab w:val="clear" w:pos="794"/>
        <w:tab w:val="clear" w:pos="1191"/>
        <w:tab w:val="clear" w:pos="1588"/>
        <w:tab w:val="clear" w:pos="1985"/>
        <w:tab w:val="center" w:pos="4536"/>
        <w:tab w:val="right" w:pos="9072"/>
      </w:tabs>
    </w:pPr>
  </w:style>
  <w:style w:type="paragraph" w:customStyle="1" w:styleId="CharCharCharCharCarCharCharChar1CharCharCharCar">
    <w:name w:val="Char Char Char Char Car Char Char Char1 Char Char Char Car"/>
    <w:basedOn w:val="Normal"/>
    <w:rsid w:val="0012777C"/>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styleId="Notedebasdepage">
    <w:name w:val="footnote text"/>
    <w:basedOn w:val="Normal"/>
    <w:link w:val="NotedebasdepageCar"/>
    <w:rsid w:val="00103096"/>
    <w:pPr>
      <w:keepLines/>
      <w:tabs>
        <w:tab w:val="left" w:pos="255"/>
      </w:tabs>
      <w:ind w:left="255" w:hanging="255"/>
      <w:jc w:val="both"/>
    </w:pPr>
    <w:rPr>
      <w:sz w:val="22"/>
      <w:lang w:val="fr-FR"/>
    </w:rPr>
  </w:style>
  <w:style w:type="character" w:customStyle="1" w:styleId="NotedebasdepageCar">
    <w:name w:val="Note de bas de page Car"/>
    <w:link w:val="Notedebasdepage"/>
    <w:locked/>
    <w:rsid w:val="00103096"/>
    <w:rPr>
      <w:sz w:val="22"/>
      <w:lang w:val="fr-FR" w:eastAsia="en-US" w:bidi="ar-SA"/>
    </w:rPr>
  </w:style>
  <w:style w:type="character" w:styleId="Appelnotedebasdep">
    <w:name w:val="footnote reference"/>
    <w:rsid w:val="00103096"/>
    <w:rPr>
      <w:rFonts w:cs="Times New Roman"/>
      <w:position w:val="6"/>
      <w:sz w:val="18"/>
    </w:rPr>
  </w:style>
  <w:style w:type="character" w:customStyle="1" w:styleId="TableheadChar">
    <w:name w:val="Table_head Char"/>
    <w:link w:val="Tablehead"/>
    <w:locked/>
    <w:rsid w:val="00103096"/>
    <w:rPr>
      <w:b/>
      <w:sz w:val="22"/>
      <w:lang w:val="en-GB" w:eastAsia="en-US" w:bidi="ar-SA"/>
    </w:rPr>
  </w:style>
  <w:style w:type="paragraph" w:customStyle="1" w:styleId="Tablefin">
    <w:name w:val="Table_fin"/>
    <w:basedOn w:val="Normal"/>
    <w:next w:val="Normal"/>
    <w:rsid w:val="00103096"/>
    <w:pPr>
      <w:spacing w:before="0"/>
      <w:jc w:val="both"/>
    </w:pPr>
    <w:rPr>
      <w:sz w:val="20"/>
    </w:rPr>
  </w:style>
  <w:style w:type="paragraph" w:customStyle="1" w:styleId="Texte">
    <w:name w:val="Texte"/>
    <w:basedOn w:val="Normal"/>
    <w:rsid w:val="00263AB1"/>
    <w:pPr>
      <w:tabs>
        <w:tab w:val="clear" w:pos="794"/>
        <w:tab w:val="clear" w:pos="1191"/>
        <w:tab w:val="clear" w:pos="1588"/>
        <w:tab w:val="clear" w:pos="1985"/>
      </w:tabs>
      <w:overflowPunct/>
      <w:autoSpaceDE/>
      <w:autoSpaceDN/>
      <w:adjustRightInd/>
      <w:jc w:val="both"/>
      <w:textAlignment w:val="auto"/>
    </w:pPr>
    <w:rPr>
      <w:rFonts w:ascii="Arial" w:hAnsi="Arial"/>
      <w:sz w:val="22"/>
      <w:szCs w:val="24"/>
      <w:lang w:eastAsia="fr-FR"/>
    </w:rPr>
  </w:style>
  <w:style w:type="paragraph" w:styleId="Listenumros">
    <w:name w:val="List Number"/>
    <w:basedOn w:val="Normal"/>
    <w:rsid w:val="008C3156"/>
    <w:pPr>
      <w:tabs>
        <w:tab w:val="clear" w:pos="794"/>
        <w:tab w:val="clear" w:pos="1191"/>
        <w:tab w:val="clear" w:pos="1588"/>
        <w:tab w:val="clear" w:pos="1985"/>
        <w:tab w:val="num" w:pos="709"/>
      </w:tabs>
      <w:overflowPunct/>
      <w:autoSpaceDE/>
      <w:autoSpaceDN/>
      <w:adjustRightInd/>
      <w:spacing w:after="120"/>
      <w:ind w:left="709" w:hanging="709"/>
      <w:jc w:val="both"/>
      <w:textAlignment w:val="auto"/>
    </w:pPr>
    <w:rPr>
      <w:szCs w:val="24"/>
      <w:lang w:eastAsia="de-DE"/>
    </w:rPr>
  </w:style>
  <w:style w:type="paragraph" w:customStyle="1" w:styleId="ListNumberLevel2">
    <w:name w:val="List Number (Level 2)"/>
    <w:basedOn w:val="Normal"/>
    <w:rsid w:val="008C3156"/>
    <w:pPr>
      <w:numPr>
        <w:ilvl w:val="1"/>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3">
    <w:name w:val="List Number (Level 3)"/>
    <w:basedOn w:val="Normal"/>
    <w:rsid w:val="008C3156"/>
    <w:pPr>
      <w:numPr>
        <w:ilvl w:val="2"/>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4">
    <w:name w:val="List Number (Level 4)"/>
    <w:basedOn w:val="Normal"/>
    <w:rsid w:val="008C3156"/>
    <w:pPr>
      <w:numPr>
        <w:ilvl w:val="3"/>
        <w:numId w:val="15"/>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styleId="Retraitcorpsdetexte">
    <w:name w:val="Body Text Indent"/>
    <w:basedOn w:val="Normal"/>
    <w:rsid w:val="008C3156"/>
    <w:pPr>
      <w:spacing w:after="120"/>
      <w:ind w:left="283"/>
    </w:pPr>
  </w:style>
  <w:style w:type="paragraph" w:styleId="Textedebulles">
    <w:name w:val="Balloon Text"/>
    <w:basedOn w:val="Normal"/>
    <w:link w:val="TextedebullesCar"/>
    <w:rsid w:val="000C77C9"/>
    <w:pPr>
      <w:spacing w:before="0"/>
    </w:pPr>
    <w:rPr>
      <w:rFonts w:ascii="Tahoma" w:hAnsi="Tahoma" w:cs="Tahoma"/>
      <w:sz w:val="16"/>
      <w:szCs w:val="16"/>
    </w:rPr>
  </w:style>
  <w:style w:type="character" w:customStyle="1" w:styleId="TextedebullesCar">
    <w:name w:val="Texte de bulles Car"/>
    <w:link w:val="Textedebulles"/>
    <w:rsid w:val="000C77C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429767">
      <w:bodyDiv w:val="1"/>
      <w:marLeft w:val="0"/>
      <w:marRight w:val="0"/>
      <w:marTop w:val="0"/>
      <w:marBottom w:val="0"/>
      <w:divBdr>
        <w:top w:val="none" w:sz="0" w:space="0" w:color="auto"/>
        <w:left w:val="none" w:sz="0" w:space="0" w:color="auto"/>
        <w:bottom w:val="none" w:sz="0" w:space="0" w:color="auto"/>
        <w:right w:val="none" w:sz="0" w:space="0" w:color="auto"/>
      </w:divBdr>
      <w:divsChild>
        <w:div w:id="485049726">
          <w:marLeft w:val="0"/>
          <w:marRight w:val="0"/>
          <w:marTop w:val="0"/>
          <w:marBottom w:val="0"/>
          <w:divBdr>
            <w:top w:val="none" w:sz="0" w:space="0" w:color="auto"/>
            <w:left w:val="none" w:sz="0" w:space="0" w:color="auto"/>
            <w:bottom w:val="none" w:sz="0" w:space="0" w:color="auto"/>
            <w:right w:val="none" w:sz="0" w:space="0" w:color="auto"/>
          </w:divBdr>
        </w:div>
      </w:divsChild>
    </w:div>
    <w:div w:id="946810826">
      <w:bodyDiv w:val="1"/>
      <w:marLeft w:val="0"/>
      <w:marRight w:val="0"/>
      <w:marTop w:val="0"/>
      <w:marBottom w:val="0"/>
      <w:divBdr>
        <w:top w:val="none" w:sz="0" w:space="0" w:color="auto"/>
        <w:left w:val="none" w:sz="0" w:space="0" w:color="auto"/>
        <w:bottom w:val="none" w:sz="0" w:space="0" w:color="auto"/>
        <w:right w:val="none" w:sz="0" w:space="0" w:color="auto"/>
      </w:divBdr>
      <w:divsChild>
        <w:div w:id="72364804">
          <w:marLeft w:val="0"/>
          <w:marRight w:val="0"/>
          <w:marTop w:val="0"/>
          <w:marBottom w:val="0"/>
          <w:divBdr>
            <w:top w:val="none" w:sz="0" w:space="0" w:color="auto"/>
            <w:left w:val="none" w:sz="0" w:space="0" w:color="auto"/>
            <w:bottom w:val="none" w:sz="0" w:space="0" w:color="auto"/>
            <w:right w:val="none" w:sz="0" w:space="0" w:color="auto"/>
          </w:divBdr>
        </w:div>
      </w:divsChild>
    </w:div>
    <w:div w:id="1486051846">
      <w:bodyDiv w:val="1"/>
      <w:marLeft w:val="0"/>
      <w:marRight w:val="0"/>
      <w:marTop w:val="0"/>
      <w:marBottom w:val="0"/>
      <w:divBdr>
        <w:top w:val="none" w:sz="0" w:space="0" w:color="auto"/>
        <w:left w:val="none" w:sz="0" w:space="0" w:color="auto"/>
        <w:bottom w:val="none" w:sz="0" w:space="0" w:color="auto"/>
        <w:right w:val="none" w:sz="0" w:space="0" w:color="auto"/>
      </w:divBdr>
      <w:divsChild>
        <w:div w:id="930237207">
          <w:marLeft w:val="0"/>
          <w:marRight w:val="0"/>
          <w:marTop w:val="0"/>
          <w:marBottom w:val="0"/>
          <w:divBdr>
            <w:top w:val="none" w:sz="0" w:space="0" w:color="auto"/>
            <w:left w:val="none" w:sz="0" w:space="0" w:color="auto"/>
            <w:bottom w:val="none" w:sz="0" w:space="0" w:color="auto"/>
            <w:right w:val="none" w:sz="0" w:space="0" w:color="auto"/>
          </w:divBdr>
          <w:divsChild>
            <w:div w:id="404958581">
              <w:marLeft w:val="0"/>
              <w:marRight w:val="0"/>
              <w:marTop w:val="0"/>
              <w:marBottom w:val="0"/>
              <w:divBdr>
                <w:top w:val="none" w:sz="0" w:space="0" w:color="auto"/>
                <w:left w:val="none" w:sz="0" w:space="0" w:color="auto"/>
                <w:bottom w:val="none" w:sz="0" w:space="0" w:color="auto"/>
                <w:right w:val="none" w:sz="0" w:space="0" w:color="auto"/>
              </w:divBdr>
            </w:div>
            <w:div w:id="440805673">
              <w:marLeft w:val="0"/>
              <w:marRight w:val="0"/>
              <w:marTop w:val="0"/>
              <w:marBottom w:val="0"/>
              <w:divBdr>
                <w:top w:val="none" w:sz="0" w:space="0" w:color="auto"/>
                <w:left w:val="none" w:sz="0" w:space="0" w:color="auto"/>
                <w:bottom w:val="none" w:sz="0" w:space="0" w:color="auto"/>
                <w:right w:val="none" w:sz="0" w:space="0" w:color="auto"/>
              </w:divBdr>
            </w:div>
            <w:div w:id="874658538">
              <w:marLeft w:val="0"/>
              <w:marRight w:val="0"/>
              <w:marTop w:val="0"/>
              <w:marBottom w:val="0"/>
              <w:divBdr>
                <w:top w:val="none" w:sz="0" w:space="0" w:color="auto"/>
                <w:left w:val="none" w:sz="0" w:space="0" w:color="auto"/>
                <w:bottom w:val="none" w:sz="0" w:space="0" w:color="auto"/>
                <w:right w:val="none" w:sz="0" w:space="0" w:color="auto"/>
              </w:divBdr>
            </w:div>
            <w:div w:id="931937382">
              <w:marLeft w:val="0"/>
              <w:marRight w:val="0"/>
              <w:marTop w:val="0"/>
              <w:marBottom w:val="0"/>
              <w:divBdr>
                <w:top w:val="none" w:sz="0" w:space="0" w:color="auto"/>
                <w:left w:val="none" w:sz="0" w:space="0" w:color="auto"/>
                <w:bottom w:val="none" w:sz="0" w:space="0" w:color="auto"/>
                <w:right w:val="none" w:sz="0" w:space="0" w:color="auto"/>
              </w:divBdr>
            </w:div>
            <w:div w:id="1245532164">
              <w:marLeft w:val="0"/>
              <w:marRight w:val="0"/>
              <w:marTop w:val="0"/>
              <w:marBottom w:val="0"/>
              <w:divBdr>
                <w:top w:val="none" w:sz="0" w:space="0" w:color="auto"/>
                <w:left w:val="none" w:sz="0" w:space="0" w:color="auto"/>
                <w:bottom w:val="none" w:sz="0" w:space="0" w:color="auto"/>
                <w:right w:val="none" w:sz="0" w:space="0" w:color="auto"/>
              </w:divBdr>
            </w:div>
            <w:div w:id="1691763404">
              <w:marLeft w:val="0"/>
              <w:marRight w:val="0"/>
              <w:marTop w:val="0"/>
              <w:marBottom w:val="0"/>
              <w:divBdr>
                <w:top w:val="none" w:sz="0" w:space="0" w:color="auto"/>
                <w:left w:val="none" w:sz="0" w:space="0" w:color="auto"/>
                <w:bottom w:val="none" w:sz="0" w:space="0" w:color="auto"/>
                <w:right w:val="none" w:sz="0" w:space="0" w:color="auto"/>
              </w:divBdr>
            </w:div>
            <w:div w:id="172683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643727">
      <w:bodyDiv w:val="1"/>
      <w:marLeft w:val="0"/>
      <w:marRight w:val="0"/>
      <w:marTop w:val="0"/>
      <w:marBottom w:val="0"/>
      <w:divBdr>
        <w:top w:val="none" w:sz="0" w:space="0" w:color="auto"/>
        <w:left w:val="none" w:sz="0" w:space="0" w:color="auto"/>
        <w:bottom w:val="none" w:sz="0" w:space="0" w:color="auto"/>
        <w:right w:val="none" w:sz="0" w:space="0" w:color="auto"/>
      </w:divBdr>
      <w:divsChild>
        <w:div w:id="42602269">
          <w:marLeft w:val="0"/>
          <w:marRight w:val="0"/>
          <w:marTop w:val="0"/>
          <w:marBottom w:val="0"/>
          <w:divBdr>
            <w:top w:val="none" w:sz="0" w:space="0" w:color="auto"/>
            <w:left w:val="none" w:sz="0" w:space="0" w:color="auto"/>
            <w:bottom w:val="none" w:sz="0" w:space="0" w:color="auto"/>
            <w:right w:val="none" w:sz="0" w:space="0" w:color="auto"/>
          </w:divBdr>
          <w:divsChild>
            <w:div w:id="709452336">
              <w:marLeft w:val="0"/>
              <w:marRight w:val="0"/>
              <w:marTop w:val="0"/>
              <w:marBottom w:val="0"/>
              <w:divBdr>
                <w:top w:val="none" w:sz="0" w:space="0" w:color="auto"/>
                <w:left w:val="none" w:sz="0" w:space="0" w:color="auto"/>
                <w:bottom w:val="none" w:sz="0" w:space="0" w:color="auto"/>
                <w:right w:val="none" w:sz="0" w:space="0" w:color="auto"/>
              </w:divBdr>
            </w:div>
            <w:div w:id="1765760617">
              <w:marLeft w:val="0"/>
              <w:marRight w:val="0"/>
              <w:marTop w:val="0"/>
              <w:marBottom w:val="0"/>
              <w:divBdr>
                <w:top w:val="none" w:sz="0" w:space="0" w:color="auto"/>
                <w:left w:val="none" w:sz="0" w:space="0" w:color="auto"/>
                <w:bottom w:val="none" w:sz="0" w:space="0" w:color="auto"/>
                <w:right w:val="none" w:sz="0" w:space="0" w:color="auto"/>
              </w:divBdr>
            </w:div>
            <w:div w:id="196110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183677">
      <w:bodyDiv w:val="1"/>
      <w:marLeft w:val="0"/>
      <w:marRight w:val="0"/>
      <w:marTop w:val="0"/>
      <w:marBottom w:val="0"/>
      <w:divBdr>
        <w:top w:val="none" w:sz="0" w:space="0" w:color="auto"/>
        <w:left w:val="none" w:sz="0" w:space="0" w:color="auto"/>
        <w:bottom w:val="none" w:sz="0" w:space="0" w:color="auto"/>
        <w:right w:val="none" w:sz="0" w:space="0" w:color="auto"/>
      </w:divBdr>
    </w:div>
    <w:div w:id="1611430171">
      <w:bodyDiv w:val="1"/>
      <w:marLeft w:val="0"/>
      <w:marRight w:val="0"/>
      <w:marTop w:val="0"/>
      <w:marBottom w:val="0"/>
      <w:divBdr>
        <w:top w:val="none" w:sz="0" w:space="0" w:color="auto"/>
        <w:left w:val="none" w:sz="0" w:space="0" w:color="auto"/>
        <w:bottom w:val="none" w:sz="0" w:space="0" w:color="auto"/>
        <w:right w:val="none" w:sz="0" w:space="0" w:color="auto"/>
      </w:divBdr>
      <w:divsChild>
        <w:div w:id="56823715">
          <w:marLeft w:val="0"/>
          <w:marRight w:val="0"/>
          <w:marTop w:val="0"/>
          <w:marBottom w:val="0"/>
          <w:divBdr>
            <w:top w:val="none" w:sz="0" w:space="0" w:color="auto"/>
            <w:left w:val="none" w:sz="0" w:space="0" w:color="auto"/>
            <w:bottom w:val="none" w:sz="0" w:space="0" w:color="auto"/>
            <w:right w:val="none" w:sz="0" w:space="0" w:color="auto"/>
          </w:divBdr>
          <w:divsChild>
            <w:div w:id="215357939">
              <w:marLeft w:val="0"/>
              <w:marRight w:val="0"/>
              <w:marTop w:val="0"/>
              <w:marBottom w:val="0"/>
              <w:divBdr>
                <w:top w:val="none" w:sz="0" w:space="0" w:color="auto"/>
                <w:left w:val="none" w:sz="0" w:space="0" w:color="auto"/>
                <w:bottom w:val="none" w:sz="0" w:space="0" w:color="auto"/>
                <w:right w:val="none" w:sz="0" w:space="0" w:color="auto"/>
              </w:divBdr>
            </w:div>
            <w:div w:id="1309632301">
              <w:marLeft w:val="0"/>
              <w:marRight w:val="0"/>
              <w:marTop w:val="0"/>
              <w:marBottom w:val="0"/>
              <w:divBdr>
                <w:top w:val="none" w:sz="0" w:space="0" w:color="auto"/>
                <w:left w:val="none" w:sz="0" w:space="0" w:color="auto"/>
                <w:bottom w:val="none" w:sz="0" w:space="0" w:color="auto"/>
                <w:right w:val="none" w:sz="0" w:space="0" w:color="auto"/>
              </w:divBdr>
            </w:div>
            <w:div w:id="1809785702">
              <w:marLeft w:val="0"/>
              <w:marRight w:val="0"/>
              <w:marTop w:val="0"/>
              <w:marBottom w:val="0"/>
              <w:divBdr>
                <w:top w:val="none" w:sz="0" w:space="0" w:color="auto"/>
                <w:left w:val="none" w:sz="0" w:space="0" w:color="auto"/>
                <w:bottom w:val="none" w:sz="0" w:space="0" w:color="auto"/>
                <w:right w:val="none" w:sz="0" w:space="0" w:color="auto"/>
              </w:divBdr>
            </w:div>
            <w:div w:id="181325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505763">
      <w:bodyDiv w:val="1"/>
      <w:marLeft w:val="0"/>
      <w:marRight w:val="0"/>
      <w:marTop w:val="0"/>
      <w:marBottom w:val="0"/>
      <w:divBdr>
        <w:top w:val="none" w:sz="0" w:space="0" w:color="auto"/>
        <w:left w:val="none" w:sz="0" w:space="0" w:color="auto"/>
        <w:bottom w:val="none" w:sz="0" w:space="0" w:color="auto"/>
        <w:right w:val="none" w:sz="0" w:space="0" w:color="auto"/>
      </w:divBdr>
      <w:divsChild>
        <w:div w:id="1558936547">
          <w:marLeft w:val="0"/>
          <w:marRight w:val="0"/>
          <w:marTop w:val="0"/>
          <w:marBottom w:val="0"/>
          <w:divBdr>
            <w:top w:val="none" w:sz="0" w:space="0" w:color="auto"/>
            <w:left w:val="none" w:sz="0" w:space="0" w:color="auto"/>
            <w:bottom w:val="none" w:sz="0" w:space="0" w:color="auto"/>
            <w:right w:val="none" w:sz="0" w:space="0" w:color="auto"/>
          </w:divBdr>
        </w:div>
      </w:divsChild>
    </w:div>
    <w:div w:id="1972974389">
      <w:bodyDiv w:val="1"/>
      <w:marLeft w:val="0"/>
      <w:marRight w:val="0"/>
      <w:marTop w:val="0"/>
      <w:marBottom w:val="0"/>
      <w:divBdr>
        <w:top w:val="none" w:sz="0" w:space="0" w:color="auto"/>
        <w:left w:val="none" w:sz="0" w:space="0" w:color="auto"/>
        <w:bottom w:val="none" w:sz="0" w:space="0" w:color="auto"/>
        <w:right w:val="none" w:sz="0" w:space="0" w:color="auto"/>
      </w:divBdr>
      <w:divsChild>
        <w:div w:id="1281834528">
          <w:marLeft w:val="0"/>
          <w:marRight w:val="0"/>
          <w:marTop w:val="0"/>
          <w:marBottom w:val="0"/>
          <w:divBdr>
            <w:top w:val="none" w:sz="0" w:space="0" w:color="auto"/>
            <w:left w:val="none" w:sz="0" w:space="0" w:color="auto"/>
            <w:bottom w:val="none" w:sz="0" w:space="0" w:color="auto"/>
            <w:right w:val="none" w:sz="0" w:space="0" w:color="auto"/>
          </w:divBdr>
          <w:divsChild>
            <w:div w:id="188837953">
              <w:marLeft w:val="0"/>
              <w:marRight w:val="0"/>
              <w:marTop w:val="0"/>
              <w:marBottom w:val="0"/>
              <w:divBdr>
                <w:top w:val="none" w:sz="0" w:space="0" w:color="auto"/>
                <w:left w:val="none" w:sz="0" w:space="0" w:color="auto"/>
                <w:bottom w:val="none" w:sz="0" w:space="0" w:color="auto"/>
                <w:right w:val="none" w:sz="0" w:space="0" w:color="auto"/>
              </w:divBdr>
            </w:div>
            <w:div w:id="393703170">
              <w:marLeft w:val="0"/>
              <w:marRight w:val="0"/>
              <w:marTop w:val="0"/>
              <w:marBottom w:val="0"/>
              <w:divBdr>
                <w:top w:val="none" w:sz="0" w:space="0" w:color="auto"/>
                <w:left w:val="none" w:sz="0" w:space="0" w:color="auto"/>
                <w:bottom w:val="none" w:sz="0" w:space="0" w:color="auto"/>
                <w:right w:val="none" w:sz="0" w:space="0" w:color="auto"/>
              </w:divBdr>
            </w:div>
            <w:div w:id="935790939">
              <w:marLeft w:val="0"/>
              <w:marRight w:val="0"/>
              <w:marTop w:val="0"/>
              <w:marBottom w:val="0"/>
              <w:divBdr>
                <w:top w:val="none" w:sz="0" w:space="0" w:color="auto"/>
                <w:left w:val="none" w:sz="0" w:space="0" w:color="auto"/>
                <w:bottom w:val="none" w:sz="0" w:space="0" w:color="auto"/>
                <w:right w:val="none" w:sz="0" w:space="0" w:color="auto"/>
              </w:divBdr>
            </w:div>
            <w:div w:id="1396705889">
              <w:marLeft w:val="0"/>
              <w:marRight w:val="0"/>
              <w:marTop w:val="0"/>
              <w:marBottom w:val="0"/>
              <w:divBdr>
                <w:top w:val="none" w:sz="0" w:space="0" w:color="auto"/>
                <w:left w:val="none" w:sz="0" w:space="0" w:color="auto"/>
                <w:bottom w:val="none" w:sz="0" w:space="0" w:color="auto"/>
                <w:right w:val="none" w:sz="0" w:space="0" w:color="auto"/>
              </w:divBdr>
            </w:div>
            <w:div w:id="1872065803">
              <w:marLeft w:val="0"/>
              <w:marRight w:val="0"/>
              <w:marTop w:val="0"/>
              <w:marBottom w:val="0"/>
              <w:divBdr>
                <w:top w:val="none" w:sz="0" w:space="0" w:color="auto"/>
                <w:left w:val="none" w:sz="0" w:space="0" w:color="auto"/>
                <w:bottom w:val="none" w:sz="0" w:space="0" w:color="auto"/>
                <w:right w:val="none" w:sz="0" w:space="0" w:color="auto"/>
              </w:divBdr>
            </w:div>
            <w:div w:id="1956322385">
              <w:marLeft w:val="0"/>
              <w:marRight w:val="0"/>
              <w:marTop w:val="0"/>
              <w:marBottom w:val="0"/>
              <w:divBdr>
                <w:top w:val="none" w:sz="0" w:space="0" w:color="auto"/>
                <w:left w:val="none" w:sz="0" w:space="0" w:color="auto"/>
                <w:bottom w:val="none" w:sz="0" w:space="0" w:color="auto"/>
                <w:right w:val="none" w:sz="0" w:space="0" w:color="auto"/>
              </w:divBdr>
            </w:div>
            <w:div w:id="2051955402">
              <w:marLeft w:val="0"/>
              <w:marRight w:val="0"/>
              <w:marTop w:val="0"/>
              <w:marBottom w:val="0"/>
              <w:divBdr>
                <w:top w:val="none" w:sz="0" w:space="0" w:color="auto"/>
                <w:left w:val="none" w:sz="0" w:space="0" w:color="auto"/>
                <w:bottom w:val="none" w:sz="0" w:space="0" w:color="auto"/>
                <w:right w:val="none" w:sz="0" w:space="0" w:color="auto"/>
              </w:divBdr>
            </w:div>
            <w:div w:id="208714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26706">
      <w:bodyDiv w:val="1"/>
      <w:marLeft w:val="0"/>
      <w:marRight w:val="0"/>
      <w:marTop w:val="0"/>
      <w:marBottom w:val="0"/>
      <w:divBdr>
        <w:top w:val="none" w:sz="0" w:space="0" w:color="auto"/>
        <w:left w:val="none" w:sz="0" w:space="0" w:color="auto"/>
        <w:bottom w:val="none" w:sz="0" w:space="0" w:color="auto"/>
        <w:right w:val="none" w:sz="0" w:space="0" w:color="auto"/>
      </w:divBdr>
      <w:divsChild>
        <w:div w:id="17642533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3323</Words>
  <Characters>18280</Characters>
  <Application>Microsoft Office Word</Application>
  <DocSecurity>0</DocSecurity>
  <Lines>152</Lines>
  <Paragraphs>43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Annex 2 to PT B(2009)044</vt:lpstr>
      <vt:lpstr>Annex 2 to PT B(2009)044</vt:lpstr>
      <vt:lpstr>Annex 2 to PT B(2009)044</vt:lpstr>
    </vt:vector>
  </TitlesOfParts>
  <Company>Agentschap Telecom</Company>
  <LinksUpToDate>false</LinksUpToDate>
  <CharactersWithSpaces>21560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2 to PT B(2009)044</dc:title>
  <dc:creator>die072</dc:creator>
  <cp:lastModifiedBy>CEPT</cp:lastModifiedBy>
  <cp:revision>3</cp:revision>
  <cp:lastPrinted>2009-09-23T12:46:00Z</cp:lastPrinted>
  <dcterms:created xsi:type="dcterms:W3CDTF">2011-11-21T08:37:00Z</dcterms:created>
  <dcterms:modified xsi:type="dcterms:W3CDTF">2012-01-03T09:51:00Z</dcterms:modified>
</cp:coreProperties>
</file>